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CA4" w:rsidRPr="00067E16" w:rsidRDefault="00A11CA4" w:rsidP="00A11CA4">
      <w:pPr>
        <w:jc w:val="center"/>
        <w:rPr>
          <w:rFonts w:ascii="Century Gothic" w:hAnsi="Century Gothic"/>
          <w:b/>
          <w:i/>
          <w:sz w:val="36"/>
          <w:szCs w:val="36"/>
        </w:rPr>
      </w:pPr>
    </w:p>
    <w:p w:rsidR="00A11CA4" w:rsidRPr="00067E16" w:rsidRDefault="00A11CA4" w:rsidP="00A11CA4">
      <w:pPr>
        <w:jc w:val="center"/>
        <w:rPr>
          <w:rFonts w:ascii="Century Gothic" w:hAnsi="Century Gothic"/>
          <w:b/>
          <w:i/>
          <w:sz w:val="36"/>
          <w:szCs w:val="36"/>
        </w:rPr>
      </w:pPr>
    </w:p>
    <w:p w:rsidR="00A11CA4" w:rsidRPr="00067E16" w:rsidRDefault="00A11CA4" w:rsidP="00A11CA4">
      <w:pPr>
        <w:jc w:val="center"/>
        <w:rPr>
          <w:rFonts w:ascii="Century Gothic" w:hAnsi="Century Gothic"/>
          <w:b/>
          <w:i/>
          <w:sz w:val="36"/>
          <w:szCs w:val="36"/>
        </w:rPr>
      </w:pPr>
    </w:p>
    <w:p w:rsidR="00A11CA4" w:rsidRPr="00067E16" w:rsidRDefault="00A11CA4" w:rsidP="00A11CA4">
      <w:pPr>
        <w:jc w:val="center"/>
        <w:rPr>
          <w:rFonts w:ascii="Century Gothic" w:hAnsi="Century Gothic"/>
          <w:b/>
          <w:i/>
          <w:sz w:val="36"/>
          <w:szCs w:val="36"/>
        </w:rPr>
      </w:pPr>
    </w:p>
    <w:p w:rsidR="00A11CA4" w:rsidRPr="00067E16" w:rsidRDefault="00A11CA4" w:rsidP="00A11CA4">
      <w:pPr>
        <w:jc w:val="center"/>
        <w:rPr>
          <w:rFonts w:ascii="Century Gothic" w:hAnsi="Century Gothic"/>
          <w:b/>
          <w:i/>
          <w:sz w:val="36"/>
          <w:szCs w:val="36"/>
        </w:rPr>
      </w:pPr>
    </w:p>
    <w:p w:rsidR="00A11CA4" w:rsidRPr="00067E16" w:rsidRDefault="00A11CA4" w:rsidP="00A11CA4">
      <w:pPr>
        <w:jc w:val="center"/>
        <w:rPr>
          <w:rFonts w:ascii="Century Gothic" w:hAnsi="Century Gothic"/>
          <w:b/>
          <w:i/>
          <w:sz w:val="36"/>
          <w:szCs w:val="36"/>
        </w:rPr>
      </w:pPr>
    </w:p>
    <w:p w:rsidR="00A11CA4" w:rsidRPr="00067E16" w:rsidRDefault="00A11CA4" w:rsidP="00A11CA4">
      <w:pPr>
        <w:jc w:val="center"/>
        <w:rPr>
          <w:rFonts w:ascii="Century Gothic" w:hAnsi="Century Gothic"/>
          <w:b/>
          <w:i/>
          <w:sz w:val="36"/>
          <w:szCs w:val="36"/>
        </w:rPr>
      </w:pPr>
    </w:p>
    <w:p w:rsidR="00A11CA4" w:rsidRPr="00067E16" w:rsidRDefault="00A11CA4" w:rsidP="00A11CA4">
      <w:pPr>
        <w:jc w:val="center"/>
        <w:rPr>
          <w:rFonts w:ascii="Century Gothic" w:hAnsi="Century Gothic"/>
          <w:b/>
          <w:i/>
          <w:sz w:val="36"/>
          <w:szCs w:val="36"/>
        </w:rPr>
      </w:pPr>
      <w:r w:rsidRPr="00067E16">
        <w:rPr>
          <w:rFonts w:ascii="Century Gothic" w:hAnsi="Century Gothic"/>
          <w:b/>
          <w:i/>
          <w:sz w:val="36"/>
          <w:szCs w:val="36"/>
        </w:rPr>
        <w:t>I.</w:t>
      </w:r>
    </w:p>
    <w:p w:rsidR="00A11CA4" w:rsidRPr="00067E16" w:rsidRDefault="00A11CA4" w:rsidP="00A11CA4">
      <w:pPr>
        <w:spacing w:line="360" w:lineRule="auto"/>
        <w:jc w:val="center"/>
        <w:rPr>
          <w:rFonts w:ascii="Century Gothic" w:hAnsi="Century Gothic"/>
          <w:b/>
          <w:i/>
          <w:sz w:val="36"/>
          <w:szCs w:val="36"/>
        </w:rPr>
      </w:pPr>
    </w:p>
    <w:p w:rsidR="00A11CA4" w:rsidRPr="00067E16" w:rsidRDefault="00A11CA4" w:rsidP="00A11CA4">
      <w:pPr>
        <w:spacing w:line="360" w:lineRule="auto"/>
        <w:jc w:val="center"/>
        <w:rPr>
          <w:rFonts w:ascii="Century Gothic" w:hAnsi="Century Gothic"/>
          <w:b/>
          <w:i/>
          <w:sz w:val="36"/>
          <w:szCs w:val="36"/>
        </w:rPr>
      </w:pPr>
    </w:p>
    <w:p w:rsidR="00A11CA4" w:rsidRPr="00067E16" w:rsidRDefault="00A11CA4" w:rsidP="00A11CA4">
      <w:pPr>
        <w:jc w:val="center"/>
        <w:rPr>
          <w:rFonts w:ascii="Century Gothic" w:hAnsi="Century Gothic"/>
          <w:b/>
          <w:i/>
          <w:sz w:val="36"/>
          <w:szCs w:val="36"/>
        </w:rPr>
      </w:pPr>
      <w:r w:rsidRPr="00067E16">
        <w:rPr>
          <w:rFonts w:ascii="Century Gothic" w:hAnsi="Century Gothic"/>
          <w:b/>
          <w:i/>
          <w:sz w:val="36"/>
          <w:szCs w:val="36"/>
        </w:rPr>
        <w:t xml:space="preserve">Zpráva </w:t>
      </w:r>
    </w:p>
    <w:p w:rsidR="00A11CA4" w:rsidRPr="00067E16" w:rsidRDefault="00A11CA4" w:rsidP="00A11CA4">
      <w:pPr>
        <w:jc w:val="center"/>
        <w:rPr>
          <w:rFonts w:ascii="Century Gothic" w:hAnsi="Century Gothic"/>
          <w:b/>
          <w:i/>
          <w:sz w:val="36"/>
          <w:szCs w:val="36"/>
        </w:rPr>
      </w:pPr>
    </w:p>
    <w:p w:rsidR="00A11CA4" w:rsidRPr="00067E16" w:rsidRDefault="00A11CA4" w:rsidP="00A11CA4">
      <w:pPr>
        <w:jc w:val="center"/>
        <w:rPr>
          <w:rFonts w:ascii="Century Gothic" w:hAnsi="Century Gothic"/>
          <w:b/>
          <w:i/>
          <w:sz w:val="36"/>
          <w:szCs w:val="36"/>
        </w:rPr>
      </w:pPr>
      <w:r w:rsidRPr="00067E16">
        <w:rPr>
          <w:rFonts w:ascii="Century Gothic" w:hAnsi="Century Gothic"/>
          <w:b/>
          <w:i/>
          <w:sz w:val="36"/>
          <w:szCs w:val="36"/>
        </w:rPr>
        <w:t>o základních tendencích</w:t>
      </w:r>
    </w:p>
    <w:p w:rsidR="00A11CA4" w:rsidRPr="00067E16" w:rsidRDefault="00A11CA4" w:rsidP="00A11CA4">
      <w:pPr>
        <w:jc w:val="center"/>
        <w:rPr>
          <w:rFonts w:ascii="Century Gothic" w:hAnsi="Century Gothic"/>
          <w:b/>
          <w:i/>
          <w:sz w:val="36"/>
          <w:szCs w:val="36"/>
        </w:rPr>
      </w:pPr>
    </w:p>
    <w:p w:rsidR="00A11CA4" w:rsidRPr="00067E16" w:rsidRDefault="00A11CA4" w:rsidP="00A11CA4">
      <w:pPr>
        <w:jc w:val="center"/>
        <w:rPr>
          <w:rFonts w:ascii="Century Gothic" w:hAnsi="Century Gothic"/>
          <w:b/>
          <w:i/>
          <w:sz w:val="36"/>
          <w:szCs w:val="36"/>
        </w:rPr>
      </w:pPr>
      <w:r w:rsidRPr="00067E16">
        <w:rPr>
          <w:rFonts w:ascii="Century Gothic" w:hAnsi="Century Gothic"/>
          <w:b/>
          <w:i/>
          <w:sz w:val="36"/>
          <w:szCs w:val="36"/>
        </w:rPr>
        <w:t xml:space="preserve">příjmové a výdajové situace </w:t>
      </w:r>
    </w:p>
    <w:p w:rsidR="00A11CA4" w:rsidRPr="00067E16" w:rsidRDefault="00A11CA4" w:rsidP="00A11CA4">
      <w:pPr>
        <w:jc w:val="center"/>
        <w:rPr>
          <w:rFonts w:ascii="Century Gothic" w:hAnsi="Century Gothic"/>
          <w:b/>
          <w:i/>
          <w:sz w:val="36"/>
          <w:szCs w:val="36"/>
        </w:rPr>
      </w:pPr>
    </w:p>
    <w:p w:rsidR="00A11CA4" w:rsidRPr="00067E16" w:rsidRDefault="00A11CA4" w:rsidP="00A11CA4">
      <w:pPr>
        <w:jc w:val="center"/>
        <w:rPr>
          <w:rFonts w:ascii="Century Gothic" w:hAnsi="Century Gothic"/>
          <w:b/>
          <w:i/>
          <w:sz w:val="36"/>
          <w:szCs w:val="36"/>
        </w:rPr>
      </w:pPr>
      <w:r w:rsidRPr="00067E16">
        <w:rPr>
          <w:rFonts w:ascii="Century Gothic" w:hAnsi="Century Gothic"/>
          <w:b/>
          <w:i/>
          <w:sz w:val="36"/>
          <w:szCs w:val="36"/>
        </w:rPr>
        <w:t>domácností ČR v 1. čtvrtletí 201</w:t>
      </w:r>
      <w:r w:rsidR="00AE1B0D" w:rsidRPr="00067E16">
        <w:rPr>
          <w:rFonts w:ascii="Century Gothic" w:hAnsi="Century Gothic"/>
          <w:b/>
          <w:i/>
          <w:sz w:val="36"/>
          <w:szCs w:val="36"/>
        </w:rPr>
        <w:t>6</w:t>
      </w:r>
    </w:p>
    <w:p w:rsidR="00A11CA4" w:rsidRPr="00067E16" w:rsidRDefault="00A11CA4" w:rsidP="00A11CA4">
      <w:pPr>
        <w:rPr>
          <w:rFonts w:ascii="Century Gothic" w:hAnsi="Century Gothic"/>
          <w:b/>
          <w:sz w:val="36"/>
          <w:szCs w:val="36"/>
        </w:rPr>
      </w:pPr>
    </w:p>
    <w:p w:rsidR="00A11CA4" w:rsidRPr="00067E16" w:rsidRDefault="00A11CA4" w:rsidP="00A11CA4">
      <w:pPr>
        <w:jc w:val="center"/>
        <w:rPr>
          <w:rFonts w:ascii="Century Gothic" w:hAnsi="Century Gothic"/>
          <w:i/>
          <w:iCs/>
          <w:sz w:val="36"/>
          <w:szCs w:val="36"/>
        </w:rPr>
      </w:pPr>
      <w:r w:rsidRPr="00067E16">
        <w:rPr>
          <w:rFonts w:ascii="Century Gothic" w:hAnsi="Century Gothic"/>
          <w:i/>
          <w:iCs/>
          <w:sz w:val="36"/>
          <w:szCs w:val="36"/>
        </w:rPr>
        <w:t>(textová část)</w:t>
      </w:r>
    </w:p>
    <w:p w:rsidR="00A11CA4" w:rsidRPr="00067E16" w:rsidRDefault="00A11CA4" w:rsidP="00A11CA4">
      <w:pPr>
        <w:rPr>
          <w:sz w:val="28"/>
        </w:rPr>
      </w:pPr>
    </w:p>
    <w:p w:rsidR="00A11CA4" w:rsidRPr="00067E16" w:rsidRDefault="00A11CA4" w:rsidP="00A11CA4">
      <w:pPr>
        <w:spacing w:line="360" w:lineRule="auto"/>
        <w:ind w:left="426"/>
        <w:jc w:val="both"/>
      </w:pPr>
    </w:p>
    <w:p w:rsidR="00A11CA4" w:rsidRPr="00067E16" w:rsidRDefault="00A11CA4" w:rsidP="00A11CA4">
      <w:pPr>
        <w:spacing w:line="360" w:lineRule="auto"/>
        <w:ind w:left="426"/>
        <w:jc w:val="both"/>
      </w:pPr>
    </w:p>
    <w:p w:rsidR="00A11CA4" w:rsidRPr="00067E16" w:rsidRDefault="00A11CA4" w:rsidP="00A11CA4">
      <w:pPr>
        <w:spacing w:line="360" w:lineRule="auto"/>
        <w:ind w:left="426"/>
        <w:jc w:val="both"/>
      </w:pPr>
    </w:p>
    <w:p w:rsidR="00A11CA4" w:rsidRPr="00067E16" w:rsidRDefault="00A11CA4" w:rsidP="00A11CA4">
      <w:pPr>
        <w:spacing w:line="360" w:lineRule="auto"/>
        <w:ind w:left="426"/>
        <w:jc w:val="both"/>
      </w:pPr>
    </w:p>
    <w:p w:rsidR="00E722E0" w:rsidRPr="00067E16" w:rsidRDefault="00E722E0" w:rsidP="00A11CA4">
      <w:pPr>
        <w:spacing w:line="360" w:lineRule="auto"/>
      </w:pPr>
    </w:p>
    <w:p w:rsidR="00643A5A" w:rsidRPr="00067E16" w:rsidRDefault="00643A5A" w:rsidP="00A11CA4">
      <w:pPr>
        <w:pStyle w:val="Nadpis1"/>
        <w:numPr>
          <w:ilvl w:val="0"/>
          <w:numId w:val="0"/>
        </w:numPr>
        <w:jc w:val="center"/>
        <w:rPr>
          <w:sz w:val="28"/>
        </w:rPr>
      </w:pPr>
    </w:p>
    <w:p w:rsidR="00643A5A" w:rsidRPr="00067E16" w:rsidRDefault="00643A5A" w:rsidP="00A11CA4">
      <w:pPr>
        <w:pStyle w:val="Nadpis1"/>
        <w:numPr>
          <w:ilvl w:val="0"/>
          <w:numId w:val="0"/>
        </w:numPr>
        <w:jc w:val="center"/>
        <w:rPr>
          <w:sz w:val="28"/>
        </w:rPr>
      </w:pPr>
    </w:p>
    <w:p w:rsidR="00C4008A" w:rsidRPr="00067E16" w:rsidRDefault="00C4008A" w:rsidP="00C4008A"/>
    <w:p w:rsidR="00C4008A" w:rsidRPr="00067E16" w:rsidRDefault="00C4008A" w:rsidP="00C4008A"/>
    <w:p w:rsidR="00C4008A" w:rsidRPr="00067E16" w:rsidRDefault="00C4008A" w:rsidP="00C4008A"/>
    <w:p w:rsidR="00C4008A" w:rsidRPr="00067E16" w:rsidRDefault="00C4008A" w:rsidP="00C4008A"/>
    <w:p w:rsidR="00C4008A" w:rsidRPr="00067E16" w:rsidRDefault="00C4008A" w:rsidP="00C4008A"/>
    <w:p w:rsidR="00643A5A" w:rsidRPr="00067E16" w:rsidRDefault="00643A5A" w:rsidP="00A11CA4">
      <w:pPr>
        <w:pStyle w:val="Nadpis1"/>
        <w:numPr>
          <w:ilvl w:val="0"/>
          <w:numId w:val="0"/>
        </w:numPr>
        <w:jc w:val="center"/>
        <w:rPr>
          <w:sz w:val="28"/>
        </w:rPr>
      </w:pPr>
    </w:p>
    <w:p w:rsidR="00643A5A" w:rsidRPr="00067E16" w:rsidRDefault="00643A5A" w:rsidP="00A11CA4">
      <w:pPr>
        <w:pStyle w:val="Nadpis1"/>
        <w:numPr>
          <w:ilvl w:val="0"/>
          <w:numId w:val="0"/>
        </w:numPr>
        <w:jc w:val="center"/>
        <w:rPr>
          <w:sz w:val="28"/>
        </w:rPr>
      </w:pPr>
    </w:p>
    <w:p w:rsidR="00C4008A" w:rsidRPr="00067E16" w:rsidRDefault="00C4008A" w:rsidP="00C4008A"/>
    <w:p w:rsidR="00C4008A" w:rsidRPr="00067E16" w:rsidRDefault="00C4008A" w:rsidP="00C4008A"/>
    <w:p w:rsidR="00C4008A" w:rsidRPr="00067E16" w:rsidRDefault="00C4008A" w:rsidP="00C4008A"/>
    <w:p w:rsidR="00C4008A" w:rsidRPr="00067E16" w:rsidRDefault="00C4008A" w:rsidP="00C4008A"/>
    <w:p w:rsidR="00C4008A" w:rsidRPr="00067E16" w:rsidRDefault="00C4008A" w:rsidP="00C4008A"/>
    <w:p w:rsidR="00643A5A" w:rsidRPr="00067E16" w:rsidRDefault="00643A5A" w:rsidP="00A11CA4">
      <w:pPr>
        <w:pStyle w:val="Nadpis1"/>
        <w:numPr>
          <w:ilvl w:val="0"/>
          <w:numId w:val="0"/>
        </w:numPr>
        <w:jc w:val="center"/>
        <w:rPr>
          <w:sz w:val="28"/>
        </w:rPr>
      </w:pPr>
    </w:p>
    <w:p w:rsidR="00A11CA4" w:rsidRPr="00067E16" w:rsidRDefault="00A11CA4" w:rsidP="00A11CA4">
      <w:pPr>
        <w:pStyle w:val="Nadpis1"/>
        <w:numPr>
          <w:ilvl w:val="0"/>
          <w:numId w:val="0"/>
        </w:numPr>
        <w:jc w:val="center"/>
        <w:rPr>
          <w:sz w:val="28"/>
        </w:rPr>
      </w:pPr>
      <w:r w:rsidRPr="00067E16">
        <w:rPr>
          <w:sz w:val="28"/>
        </w:rPr>
        <w:t>Obsah</w:t>
      </w:r>
    </w:p>
    <w:p w:rsidR="00A11CA4" w:rsidRPr="00067E16" w:rsidRDefault="00A11CA4" w:rsidP="00A11CA4">
      <w:pPr>
        <w:tabs>
          <w:tab w:val="center" w:pos="8222"/>
        </w:tabs>
        <w:spacing w:line="360" w:lineRule="auto"/>
        <w:jc w:val="both"/>
      </w:pPr>
    </w:p>
    <w:p w:rsidR="00A11CA4" w:rsidRPr="00067E16" w:rsidRDefault="00A11CA4" w:rsidP="00A11CA4">
      <w:pPr>
        <w:tabs>
          <w:tab w:val="center" w:pos="8222"/>
        </w:tabs>
        <w:spacing w:line="360" w:lineRule="auto"/>
        <w:jc w:val="both"/>
      </w:pPr>
    </w:p>
    <w:p w:rsidR="00A11CA4" w:rsidRPr="00067E16" w:rsidRDefault="00A11CA4" w:rsidP="00A11CA4">
      <w:pPr>
        <w:tabs>
          <w:tab w:val="center" w:pos="8222"/>
        </w:tabs>
        <w:spacing w:line="360" w:lineRule="auto"/>
        <w:jc w:val="both"/>
      </w:pPr>
    </w:p>
    <w:p w:rsidR="00A11CA4" w:rsidRPr="00067E16" w:rsidRDefault="00A11CA4" w:rsidP="00A11CA4">
      <w:pPr>
        <w:tabs>
          <w:tab w:val="center" w:pos="8222"/>
        </w:tabs>
        <w:spacing w:line="360" w:lineRule="auto"/>
        <w:jc w:val="both"/>
      </w:pPr>
    </w:p>
    <w:p w:rsidR="00A11CA4" w:rsidRPr="00067E16" w:rsidRDefault="00A11CA4" w:rsidP="00A11CA4">
      <w:pPr>
        <w:tabs>
          <w:tab w:val="center" w:pos="8222"/>
        </w:tabs>
        <w:spacing w:line="360" w:lineRule="auto"/>
        <w:jc w:val="both"/>
      </w:pPr>
      <w:r w:rsidRPr="00067E16">
        <w:tab/>
        <w:t>strana</w:t>
      </w:r>
    </w:p>
    <w:p w:rsidR="00A11CA4" w:rsidRPr="00067E16" w:rsidRDefault="00A11CA4" w:rsidP="00A11CA4">
      <w:pPr>
        <w:tabs>
          <w:tab w:val="decimal" w:pos="8222"/>
        </w:tabs>
        <w:spacing w:line="360" w:lineRule="auto"/>
        <w:jc w:val="both"/>
      </w:pPr>
    </w:p>
    <w:p w:rsidR="00A11CA4" w:rsidRPr="00067E16" w:rsidRDefault="006E3B0B" w:rsidP="00A11CA4">
      <w:pPr>
        <w:tabs>
          <w:tab w:val="left" w:pos="284"/>
          <w:tab w:val="left" w:pos="567"/>
          <w:tab w:val="left" w:pos="851"/>
          <w:tab w:val="decimal" w:leader="dot" w:pos="8222"/>
        </w:tabs>
        <w:spacing w:line="360" w:lineRule="auto"/>
        <w:jc w:val="both"/>
      </w:pPr>
      <w:r w:rsidRPr="00067E16">
        <w:rPr>
          <w:b/>
          <w:bCs/>
        </w:rPr>
        <w:t>Hlavní poznatky z analýzy</w:t>
      </w:r>
      <w:r w:rsidR="00A11CA4" w:rsidRPr="00067E16">
        <w:tab/>
        <w:t xml:space="preserve"> 1</w:t>
      </w:r>
    </w:p>
    <w:p w:rsidR="00A11CA4" w:rsidRPr="00067E16" w:rsidRDefault="00A11CA4" w:rsidP="00A11CA4">
      <w:pPr>
        <w:tabs>
          <w:tab w:val="decimal" w:pos="8222"/>
        </w:tabs>
        <w:spacing w:line="360" w:lineRule="auto"/>
        <w:jc w:val="both"/>
      </w:pPr>
    </w:p>
    <w:p w:rsidR="00A11CA4" w:rsidRPr="00067E16" w:rsidRDefault="00A11CA4" w:rsidP="00A11CA4">
      <w:pPr>
        <w:tabs>
          <w:tab w:val="left" w:pos="284"/>
          <w:tab w:val="left" w:pos="567"/>
          <w:tab w:val="left" w:pos="851"/>
          <w:tab w:val="decimal" w:leader="dot" w:pos="8222"/>
        </w:tabs>
        <w:spacing w:line="360" w:lineRule="auto"/>
        <w:jc w:val="both"/>
      </w:pPr>
      <w:r w:rsidRPr="00067E16">
        <w:rPr>
          <w:b/>
          <w:bCs/>
        </w:rPr>
        <w:t>1</w:t>
      </w:r>
      <w:r w:rsidRPr="00067E16">
        <w:rPr>
          <w:b/>
        </w:rPr>
        <w:t>. Příjmy domácností</w:t>
      </w:r>
      <w:r w:rsidRPr="00067E16">
        <w:tab/>
      </w:r>
      <w:r w:rsidR="009C244C" w:rsidRPr="00067E16">
        <w:t>4</w:t>
      </w:r>
    </w:p>
    <w:p w:rsidR="00A11CA4" w:rsidRPr="00067E16" w:rsidRDefault="00A11CA4" w:rsidP="00A11CA4">
      <w:pPr>
        <w:tabs>
          <w:tab w:val="left" w:pos="284"/>
          <w:tab w:val="left" w:pos="567"/>
          <w:tab w:val="left" w:pos="851"/>
          <w:tab w:val="decimal" w:leader="dot" w:pos="8222"/>
        </w:tabs>
        <w:spacing w:line="360" w:lineRule="auto"/>
        <w:jc w:val="both"/>
      </w:pPr>
      <w:r w:rsidRPr="00067E16">
        <w:rPr>
          <w:i/>
        </w:rPr>
        <w:tab/>
        <w:t>1. 1   Základní charakteristika</w:t>
      </w:r>
      <w:r w:rsidR="009C244C" w:rsidRPr="00067E16">
        <w:tab/>
        <w:t>4</w:t>
      </w:r>
    </w:p>
    <w:p w:rsidR="00A11CA4" w:rsidRPr="00067E16" w:rsidRDefault="00A11CA4" w:rsidP="00A11CA4">
      <w:pPr>
        <w:tabs>
          <w:tab w:val="left" w:pos="284"/>
          <w:tab w:val="left" w:pos="567"/>
          <w:tab w:val="left" w:pos="851"/>
          <w:tab w:val="decimal" w:leader="dot" w:pos="8222"/>
        </w:tabs>
        <w:spacing w:line="360" w:lineRule="auto"/>
        <w:jc w:val="both"/>
      </w:pPr>
      <w:r w:rsidRPr="00067E16">
        <w:rPr>
          <w:i/>
        </w:rPr>
        <w:tab/>
        <w:t>1. 2   Mzdy</w:t>
      </w:r>
      <w:r w:rsidR="0020740A" w:rsidRPr="00067E16">
        <w:t xml:space="preserve"> </w:t>
      </w:r>
      <w:r w:rsidR="0020740A" w:rsidRPr="00067E16">
        <w:tab/>
        <w:t>5</w:t>
      </w:r>
    </w:p>
    <w:p w:rsidR="00A11CA4" w:rsidRPr="00067E16" w:rsidRDefault="00A11CA4" w:rsidP="00A11CA4">
      <w:pPr>
        <w:tabs>
          <w:tab w:val="left" w:pos="284"/>
          <w:tab w:val="left" w:pos="567"/>
          <w:tab w:val="left" w:pos="851"/>
          <w:tab w:val="decimal" w:leader="dot" w:pos="8222"/>
        </w:tabs>
        <w:spacing w:line="360" w:lineRule="auto"/>
        <w:jc w:val="both"/>
      </w:pPr>
      <w:r w:rsidRPr="00067E16">
        <w:tab/>
      </w:r>
      <w:r w:rsidRPr="00067E16">
        <w:rPr>
          <w:i/>
        </w:rPr>
        <w:t>1. 3   Sociální příjmy</w:t>
      </w:r>
      <w:r w:rsidRPr="00067E16">
        <w:tab/>
        <w:t>1</w:t>
      </w:r>
      <w:r w:rsidR="005C3B4C" w:rsidRPr="00067E16">
        <w:t>1</w:t>
      </w:r>
    </w:p>
    <w:p w:rsidR="00A11CA4" w:rsidRPr="00067E16" w:rsidRDefault="00A11CA4" w:rsidP="00A11CA4">
      <w:pPr>
        <w:tabs>
          <w:tab w:val="left" w:pos="284"/>
          <w:tab w:val="left" w:pos="567"/>
          <w:tab w:val="left" w:pos="851"/>
          <w:tab w:val="decimal" w:leader="dot" w:pos="8222"/>
        </w:tabs>
        <w:spacing w:line="360" w:lineRule="auto"/>
        <w:jc w:val="both"/>
      </w:pPr>
    </w:p>
    <w:p w:rsidR="00A11CA4" w:rsidRPr="00067E16" w:rsidRDefault="00A11CA4" w:rsidP="00A11CA4">
      <w:pPr>
        <w:tabs>
          <w:tab w:val="left" w:pos="284"/>
          <w:tab w:val="left" w:pos="567"/>
          <w:tab w:val="left" w:pos="851"/>
          <w:tab w:val="decimal" w:leader="dot" w:pos="8222"/>
        </w:tabs>
        <w:spacing w:line="360" w:lineRule="auto"/>
        <w:jc w:val="both"/>
      </w:pPr>
      <w:r w:rsidRPr="00067E16">
        <w:rPr>
          <w:b/>
        </w:rPr>
        <w:t>2. Spotřebitelské ceny a životní náklady</w:t>
      </w:r>
      <w:r w:rsidRPr="00067E16">
        <w:tab/>
        <w:t>1</w:t>
      </w:r>
      <w:r w:rsidR="005C3B4C" w:rsidRPr="00067E16">
        <w:t>6</w:t>
      </w:r>
    </w:p>
    <w:p w:rsidR="00A11CA4" w:rsidRPr="00067E16" w:rsidRDefault="00A11CA4" w:rsidP="00A11CA4">
      <w:pPr>
        <w:tabs>
          <w:tab w:val="left" w:pos="284"/>
          <w:tab w:val="left" w:pos="567"/>
          <w:tab w:val="left" w:pos="851"/>
          <w:tab w:val="decimal" w:leader="dot" w:pos="8222"/>
        </w:tabs>
        <w:spacing w:line="360" w:lineRule="auto"/>
        <w:jc w:val="both"/>
      </w:pPr>
    </w:p>
    <w:p w:rsidR="00A11CA4" w:rsidRPr="00067E16" w:rsidRDefault="00A11CA4" w:rsidP="00A11CA4">
      <w:pPr>
        <w:tabs>
          <w:tab w:val="left" w:pos="284"/>
          <w:tab w:val="left" w:pos="567"/>
          <w:tab w:val="left" w:pos="851"/>
          <w:tab w:val="decimal" w:leader="dot" w:pos="8222"/>
        </w:tabs>
        <w:spacing w:line="360" w:lineRule="auto"/>
        <w:jc w:val="both"/>
      </w:pPr>
      <w:r w:rsidRPr="00067E16">
        <w:rPr>
          <w:b/>
        </w:rPr>
        <w:t>3. Peněžní výdaje a úspory domácností</w:t>
      </w:r>
      <w:r w:rsidR="009C244C" w:rsidRPr="00067E16">
        <w:tab/>
        <w:t>1</w:t>
      </w:r>
      <w:r w:rsidR="005C3B4C" w:rsidRPr="00067E16">
        <w:t>8</w:t>
      </w:r>
    </w:p>
    <w:p w:rsidR="00A11CA4" w:rsidRPr="00067E16" w:rsidRDefault="00A11CA4" w:rsidP="00A11CA4">
      <w:pPr>
        <w:tabs>
          <w:tab w:val="left" w:pos="284"/>
          <w:tab w:val="left" w:pos="567"/>
          <w:tab w:val="left" w:pos="851"/>
          <w:tab w:val="decimal" w:leader="dot" w:pos="8222"/>
        </w:tabs>
        <w:spacing w:line="360" w:lineRule="auto"/>
        <w:jc w:val="both"/>
      </w:pPr>
    </w:p>
    <w:p w:rsidR="00A11CA4" w:rsidRPr="00067E16" w:rsidRDefault="00A11CA4" w:rsidP="00A11CA4">
      <w:pPr>
        <w:tabs>
          <w:tab w:val="left" w:pos="284"/>
          <w:tab w:val="left" w:pos="567"/>
          <w:tab w:val="left" w:pos="851"/>
          <w:tab w:val="decimal" w:leader="dot" w:pos="8222"/>
        </w:tabs>
        <w:spacing w:line="360" w:lineRule="auto"/>
        <w:jc w:val="both"/>
        <w:sectPr w:rsidR="00A11CA4" w:rsidRPr="00067E16" w:rsidSect="00A11CA4">
          <w:footerReference w:type="even" r:id="rId8"/>
          <w:footerReference w:type="default" r:id="rId9"/>
          <w:pgSz w:w="11906" w:h="16838"/>
          <w:pgMar w:top="1417" w:right="1417" w:bottom="1417" w:left="1417" w:header="708" w:footer="708" w:gutter="0"/>
          <w:pgNumType w:start="2"/>
          <w:cols w:space="708"/>
          <w:titlePg/>
        </w:sectPr>
      </w:pPr>
    </w:p>
    <w:p w:rsidR="0020740A" w:rsidRPr="00067E16" w:rsidRDefault="0020740A" w:rsidP="0020740A">
      <w:pPr>
        <w:spacing w:line="360" w:lineRule="auto"/>
        <w:jc w:val="both"/>
        <w:rPr>
          <w:b/>
          <w:i/>
          <w:sz w:val="32"/>
          <w:szCs w:val="32"/>
        </w:rPr>
      </w:pPr>
      <w:r w:rsidRPr="00067E16">
        <w:rPr>
          <w:b/>
          <w:i/>
          <w:sz w:val="32"/>
          <w:szCs w:val="32"/>
        </w:rPr>
        <w:lastRenderedPageBreak/>
        <w:t xml:space="preserve">Hlavní poznatky z analýzy </w:t>
      </w:r>
    </w:p>
    <w:p w:rsidR="0020740A" w:rsidRPr="00067E16" w:rsidRDefault="0020740A" w:rsidP="0020740A">
      <w:pPr>
        <w:spacing w:line="360" w:lineRule="auto"/>
        <w:jc w:val="both"/>
        <w:rPr>
          <w:rFonts w:cs="Arial"/>
        </w:rPr>
      </w:pPr>
    </w:p>
    <w:p w:rsidR="0020740A" w:rsidRPr="00067E16" w:rsidRDefault="0020740A" w:rsidP="0020740A">
      <w:pPr>
        <w:spacing w:line="360" w:lineRule="auto"/>
        <w:jc w:val="both"/>
        <w:rPr>
          <w:b/>
        </w:rPr>
      </w:pPr>
      <w:r w:rsidRPr="00067E16">
        <w:rPr>
          <w:b/>
          <w:i/>
          <w:sz w:val="32"/>
          <w:szCs w:val="32"/>
        </w:rPr>
        <w:tab/>
      </w:r>
      <w:r w:rsidRPr="00067E16">
        <w:rPr>
          <w:b/>
        </w:rPr>
        <w:t xml:space="preserve">Česká ekonomika </w:t>
      </w:r>
      <w:r w:rsidRPr="00067E16">
        <w:t>v prvním čtvrtletí 2016</w:t>
      </w:r>
      <w:r w:rsidRPr="00067E16">
        <w:rPr>
          <w:b/>
        </w:rPr>
        <w:t xml:space="preserve"> pokračovala ve stabilním hospodářském růstu, který svým tempem převýšil průměr Evropské unie. </w:t>
      </w:r>
      <w:r w:rsidRPr="00067E16">
        <w:t>Oproti roku 2015 ovšem došlo ke zpomalení růstu národního hospodářství, který byl jednak daný vyšší srovnávací základnou a také poklesem investic financovaných z fondů EU. Zlepšování celkové ekonomické situace se pozitivně projevilo na příjmové situaci domácností a jejich výdajích.</w:t>
      </w:r>
    </w:p>
    <w:p w:rsidR="0020740A" w:rsidRPr="00067E16" w:rsidRDefault="0020740A" w:rsidP="0020740A">
      <w:pPr>
        <w:spacing w:line="360" w:lineRule="auto"/>
        <w:jc w:val="both"/>
        <w:rPr>
          <w:b/>
        </w:rPr>
      </w:pPr>
    </w:p>
    <w:p w:rsidR="0020740A" w:rsidRPr="00067E16" w:rsidRDefault="0020740A" w:rsidP="0020740A">
      <w:pPr>
        <w:spacing w:line="360" w:lineRule="auto"/>
        <w:jc w:val="both"/>
      </w:pPr>
      <w:r w:rsidRPr="00067E16">
        <w:rPr>
          <w:b/>
        </w:rPr>
        <w:tab/>
        <w:t>Hrubý domácí produkt se meziročně zvýšil</w:t>
      </w:r>
      <w:r w:rsidRPr="00067E16">
        <w:t xml:space="preserve"> ve stálých cenách </w:t>
      </w:r>
      <w:r w:rsidRPr="00067E16">
        <w:rPr>
          <w:b/>
        </w:rPr>
        <w:t>o 3,0 % a ve srovnání se 4. čtvrtletím 2015 došlo k růstu o 0,4 %.</w:t>
      </w:r>
      <w:r w:rsidRPr="00067E16">
        <w:t xml:space="preserve"> Vývoj tohoto ukazatele příznivě ovlivnila zejména domácí spotřeba. </w:t>
      </w:r>
      <w:r w:rsidRPr="00067E16">
        <w:rPr>
          <w:b/>
        </w:rPr>
        <w:t>Výdaje na konečnou spotřebu</w:t>
      </w:r>
      <w:r w:rsidRPr="00067E16">
        <w:t xml:space="preserve"> v sektoru </w:t>
      </w:r>
      <w:r w:rsidRPr="00CA09FC">
        <w:rPr>
          <w:b/>
        </w:rPr>
        <w:t>domácností</w:t>
      </w:r>
      <w:r w:rsidRPr="00067E16">
        <w:t xml:space="preserve"> </w:t>
      </w:r>
      <w:r w:rsidRPr="00067E16">
        <w:rPr>
          <w:b/>
        </w:rPr>
        <w:t xml:space="preserve">vzrostly </w:t>
      </w:r>
      <w:r w:rsidRPr="00067E16">
        <w:t>meziročně reálně</w:t>
      </w:r>
      <w:r w:rsidRPr="00067E16">
        <w:rPr>
          <w:b/>
        </w:rPr>
        <w:t xml:space="preserve"> o 2,9 % </w:t>
      </w:r>
      <w:r w:rsidRPr="00067E16">
        <w:t>a významně se podílely na růstu HDP. Důvodem byl mimo jiné nadále příznivý vývoj na trhu práce a vysoký růst reálných mezd. Sílící národní hospodářství podporovaly také výdaje vládních institucí (meziroční nárůst 2,5 %) a na nabídkové straně zpracovatelský průmysl, který vzrostl o 4,8 %.</w:t>
      </w:r>
    </w:p>
    <w:p w:rsidR="0020740A" w:rsidRPr="00067E16" w:rsidRDefault="0020740A" w:rsidP="0020740A">
      <w:pPr>
        <w:spacing w:line="360" w:lineRule="auto"/>
        <w:jc w:val="both"/>
      </w:pPr>
    </w:p>
    <w:p w:rsidR="0020740A" w:rsidRPr="00067E16" w:rsidRDefault="0020740A" w:rsidP="0020740A">
      <w:pPr>
        <w:spacing w:after="240" w:line="360" w:lineRule="auto"/>
        <w:jc w:val="both"/>
      </w:pPr>
      <w:r w:rsidRPr="00067E16">
        <w:tab/>
        <w:t>Z podrobnějšího rozboru příjmů a výdajů domácností vyplynuly tyto základní poznatky:</w:t>
      </w:r>
    </w:p>
    <w:p w:rsidR="0020740A" w:rsidRPr="00067E16" w:rsidRDefault="0020740A" w:rsidP="0020740A">
      <w:pPr>
        <w:numPr>
          <w:ilvl w:val="0"/>
          <w:numId w:val="19"/>
        </w:numPr>
        <w:spacing w:after="240" w:line="360" w:lineRule="auto"/>
        <w:jc w:val="both"/>
      </w:pPr>
      <w:r w:rsidRPr="00067E16">
        <w:t xml:space="preserve">hrubý </w:t>
      </w:r>
      <w:r w:rsidRPr="00067E16">
        <w:rPr>
          <w:b/>
        </w:rPr>
        <w:t>disponibilní důchod</w:t>
      </w:r>
      <w:r w:rsidRPr="00067E16">
        <w:t xml:space="preserve"> sektoru</w:t>
      </w:r>
      <w:r w:rsidRPr="00067E16">
        <w:rPr>
          <w:b/>
          <w:bCs/>
        </w:rPr>
        <w:t xml:space="preserve"> domácností </w:t>
      </w:r>
      <w:r w:rsidRPr="00067E16">
        <w:t>(na makroúrovni statistiky národních účtů)</w:t>
      </w:r>
      <w:r w:rsidRPr="00067E16">
        <w:rPr>
          <w:b/>
          <w:bCs/>
        </w:rPr>
        <w:t xml:space="preserve"> vzrostl </w:t>
      </w:r>
      <w:r w:rsidRPr="00067E16">
        <w:t xml:space="preserve">nominálně </w:t>
      </w:r>
      <w:r w:rsidRPr="00067E16">
        <w:rPr>
          <w:b/>
          <w:bCs/>
        </w:rPr>
        <w:t xml:space="preserve">o 1,5 % na 559,2 mld. Kč, </w:t>
      </w:r>
      <w:r w:rsidRPr="00067E16">
        <w:rPr>
          <w:bCs/>
        </w:rPr>
        <w:t xml:space="preserve">což v konfrontaci s nízkou cenovou inflací znamenalo jeho </w:t>
      </w:r>
      <w:r w:rsidRPr="00067E16">
        <w:rPr>
          <w:b/>
          <w:bCs/>
        </w:rPr>
        <w:t xml:space="preserve">reálné navýšení o 1,0 %, hlavní příčinou byl </w:t>
      </w:r>
      <w:r w:rsidRPr="00067E16">
        <w:rPr>
          <w:bCs/>
        </w:rPr>
        <w:t>na straně příjmů</w:t>
      </w:r>
      <w:r w:rsidRPr="00067E16">
        <w:rPr>
          <w:b/>
          <w:bCs/>
        </w:rPr>
        <w:t xml:space="preserve"> </w:t>
      </w:r>
      <w:r w:rsidRPr="00067E16">
        <w:rPr>
          <w:bCs/>
        </w:rPr>
        <w:t xml:space="preserve">meziroční </w:t>
      </w:r>
      <w:r w:rsidRPr="00067E16">
        <w:rPr>
          <w:b/>
          <w:bCs/>
        </w:rPr>
        <w:t>nárůst</w:t>
      </w:r>
      <w:r w:rsidRPr="00067E16">
        <w:rPr>
          <w:bCs/>
        </w:rPr>
        <w:t xml:space="preserve"> </w:t>
      </w:r>
      <w:r w:rsidRPr="00067E16">
        <w:rPr>
          <w:b/>
          <w:bCs/>
        </w:rPr>
        <w:t xml:space="preserve">náhrad zaměstnancům </w:t>
      </w:r>
      <w:r w:rsidRPr="00067E16">
        <w:rPr>
          <w:bCs/>
        </w:rPr>
        <w:t>(mezd a platů – viz část 1.2),</w:t>
      </w:r>
    </w:p>
    <w:p w:rsidR="0020740A" w:rsidRPr="00067E16" w:rsidRDefault="0020740A" w:rsidP="0020740A">
      <w:pPr>
        <w:numPr>
          <w:ilvl w:val="0"/>
          <w:numId w:val="19"/>
        </w:numPr>
        <w:spacing w:after="240" w:line="360" w:lineRule="auto"/>
        <w:jc w:val="both"/>
        <w:rPr>
          <w:rFonts w:cs="Arial"/>
          <w:b/>
          <w:bCs/>
          <w:szCs w:val="24"/>
        </w:rPr>
      </w:pPr>
      <w:r w:rsidRPr="00067E16">
        <w:rPr>
          <w:rFonts w:cs="Arial"/>
          <w:b/>
          <w:bCs/>
          <w:szCs w:val="24"/>
        </w:rPr>
        <w:t xml:space="preserve">největším zdrojem peněžních příjmů </w:t>
      </w:r>
      <w:r w:rsidRPr="00067E16">
        <w:rPr>
          <w:rFonts w:cs="Arial"/>
          <w:szCs w:val="24"/>
        </w:rPr>
        <w:t xml:space="preserve">domácností byly </w:t>
      </w:r>
      <w:r w:rsidRPr="00067E16">
        <w:rPr>
          <w:rFonts w:cs="Arial"/>
          <w:b/>
          <w:bCs/>
          <w:szCs w:val="24"/>
        </w:rPr>
        <w:t>mzdy; průměrná nominální měsíční mzda v národním hospodářství</w:t>
      </w:r>
      <w:r w:rsidRPr="00067E16">
        <w:rPr>
          <w:rFonts w:cs="Arial"/>
          <w:szCs w:val="24"/>
        </w:rPr>
        <w:t xml:space="preserve"> (na přepočtené počty zaměstnanců) dosáhla úrovně </w:t>
      </w:r>
      <w:r w:rsidRPr="00067E16">
        <w:rPr>
          <w:rFonts w:cs="Arial"/>
          <w:b/>
          <w:bCs/>
          <w:szCs w:val="24"/>
        </w:rPr>
        <w:t>26 480 Kč.</w:t>
      </w:r>
      <w:r w:rsidRPr="00067E16">
        <w:rPr>
          <w:rFonts w:cs="Arial"/>
          <w:szCs w:val="24"/>
        </w:rPr>
        <w:t xml:space="preserve"> Zatímco</w:t>
      </w:r>
      <w:r w:rsidRPr="00067E16">
        <w:rPr>
          <w:rFonts w:cs="Arial"/>
          <w:b/>
          <w:bCs/>
          <w:szCs w:val="24"/>
        </w:rPr>
        <w:t xml:space="preserve"> </w:t>
      </w:r>
      <w:r w:rsidRPr="00067E16">
        <w:rPr>
          <w:rFonts w:cs="Arial"/>
          <w:szCs w:val="24"/>
        </w:rPr>
        <w:t>v 1. čtvrtletí 2015 došlo k jejímu nárůstu o 1,7 %,</w:t>
      </w:r>
      <w:r w:rsidRPr="00067E16">
        <w:rPr>
          <w:rFonts w:cs="Arial"/>
          <w:b/>
          <w:bCs/>
          <w:szCs w:val="24"/>
        </w:rPr>
        <w:t xml:space="preserve"> </w:t>
      </w:r>
      <w:r w:rsidRPr="00067E16">
        <w:rPr>
          <w:rFonts w:cs="Arial"/>
          <w:szCs w:val="24"/>
        </w:rPr>
        <w:t xml:space="preserve">meziroční </w:t>
      </w:r>
      <w:r w:rsidRPr="00067E16">
        <w:rPr>
          <w:rFonts w:cs="Arial"/>
          <w:b/>
          <w:bCs/>
          <w:szCs w:val="24"/>
        </w:rPr>
        <w:t>dynamika růstu průměrné mzdy v 1. čtvrtletí letošního roku činila 4,4 %,</w:t>
      </w:r>
      <w:r w:rsidRPr="00067E16">
        <w:rPr>
          <w:rFonts w:cs="Arial"/>
          <w:szCs w:val="24"/>
        </w:rPr>
        <w:t xml:space="preserve"> jednalo se tak o </w:t>
      </w:r>
      <w:r w:rsidRPr="00067E16">
        <w:rPr>
          <w:rFonts w:cs="Arial"/>
          <w:b/>
          <w:bCs/>
          <w:szCs w:val="24"/>
        </w:rPr>
        <w:t>největší zvýšení průměrné mzdy od roku 2009;</w:t>
      </w:r>
      <w:r w:rsidRPr="00067E16">
        <w:rPr>
          <w:rFonts w:cs="Arial"/>
          <w:szCs w:val="24"/>
        </w:rPr>
        <w:t xml:space="preserve"> po zohlednění nárůstu cenové inflace </w:t>
      </w:r>
      <w:r w:rsidRPr="00067E16">
        <w:rPr>
          <w:rFonts w:cs="Arial"/>
          <w:b/>
          <w:bCs/>
          <w:szCs w:val="24"/>
        </w:rPr>
        <w:t>došlo k posílení její reálné úrovně o 3,9 %,</w:t>
      </w:r>
    </w:p>
    <w:p w:rsidR="0020740A" w:rsidRPr="00067E16" w:rsidRDefault="0020740A" w:rsidP="0020740A">
      <w:pPr>
        <w:numPr>
          <w:ilvl w:val="0"/>
          <w:numId w:val="19"/>
        </w:numPr>
        <w:spacing w:after="240" w:line="360" w:lineRule="auto"/>
        <w:jc w:val="both"/>
        <w:rPr>
          <w:bCs/>
        </w:rPr>
      </w:pPr>
      <w:r w:rsidRPr="00067E16">
        <w:rPr>
          <w:b/>
          <w:bCs/>
        </w:rPr>
        <w:lastRenderedPageBreak/>
        <w:t xml:space="preserve">příjmy domácností sociálního charakteru </w:t>
      </w:r>
      <w:r w:rsidRPr="00067E16">
        <w:rPr>
          <w:bCs/>
        </w:rPr>
        <w:t>–</w:t>
      </w:r>
      <w:r w:rsidRPr="00067E16">
        <w:rPr>
          <w:b/>
          <w:bCs/>
        </w:rPr>
        <w:t xml:space="preserve"> </w:t>
      </w:r>
      <w:r w:rsidRPr="00067E16">
        <w:t>druhé nejvýznamnější složky úhrnných příjmů domácností – byly</w:t>
      </w:r>
      <w:r w:rsidRPr="00067E16">
        <w:rPr>
          <w:b/>
        </w:rPr>
        <w:t xml:space="preserve"> </w:t>
      </w:r>
      <w:r w:rsidRPr="00067E16">
        <w:t xml:space="preserve">o 6,7 mld. Kč (5,9 %) </w:t>
      </w:r>
      <w:r w:rsidRPr="00067E16">
        <w:rPr>
          <w:b/>
        </w:rPr>
        <w:t>vyšší</w:t>
      </w:r>
      <w:r w:rsidRPr="00067E16">
        <w:t xml:space="preserve"> než v 1. čtvrtletí 2015; nižší byl objem příjmů občanů z dávek v hmotné nouzi a z podpory v nezaměstnanosti; </w:t>
      </w:r>
      <w:r w:rsidRPr="00067E16">
        <w:rPr>
          <w:bCs/>
        </w:rPr>
        <w:t>příjmy</w:t>
      </w:r>
      <w:r w:rsidRPr="00067E16">
        <w:rPr>
          <w:b/>
          <w:bCs/>
        </w:rPr>
        <w:t xml:space="preserve"> </w:t>
      </w:r>
      <w:r w:rsidRPr="00067E16">
        <w:rPr>
          <w:bCs/>
        </w:rPr>
        <w:t>občanů z ostatních druhů sociálních dávek se zvýšily – podrobněji viz část 1.3,</w:t>
      </w:r>
    </w:p>
    <w:p w:rsidR="0020740A" w:rsidRPr="00067E16" w:rsidRDefault="0020740A" w:rsidP="0020740A">
      <w:pPr>
        <w:numPr>
          <w:ilvl w:val="0"/>
          <w:numId w:val="19"/>
        </w:numPr>
        <w:spacing w:after="240" w:line="360" w:lineRule="auto"/>
        <w:jc w:val="both"/>
      </w:pPr>
      <w:r w:rsidRPr="00067E16">
        <w:rPr>
          <w:bCs/>
        </w:rPr>
        <w:t>průměrná</w:t>
      </w:r>
      <w:r w:rsidRPr="00067E16">
        <w:rPr>
          <w:b/>
          <w:bCs/>
        </w:rPr>
        <w:t xml:space="preserve"> výše</w:t>
      </w:r>
      <w:r w:rsidRPr="00067E16">
        <w:t xml:space="preserve"> (samostatně vypláceného) starobního </w:t>
      </w:r>
      <w:r w:rsidRPr="00067E16">
        <w:rPr>
          <w:b/>
          <w:bCs/>
        </w:rPr>
        <w:t xml:space="preserve">důchodu vzrostla </w:t>
      </w:r>
      <w:r w:rsidRPr="00067E16">
        <w:rPr>
          <w:bCs/>
        </w:rPr>
        <w:t>meziročně</w:t>
      </w:r>
      <w:r w:rsidRPr="00067E16">
        <w:t xml:space="preserve"> </w:t>
      </w:r>
      <w:r w:rsidRPr="00067E16">
        <w:rPr>
          <w:b/>
        </w:rPr>
        <w:t>o 1,0 %</w:t>
      </w:r>
      <w:r w:rsidRPr="00067E16">
        <w:t xml:space="preserve"> na </w:t>
      </w:r>
      <w:r w:rsidRPr="00067E16">
        <w:rPr>
          <w:b/>
          <w:bCs/>
        </w:rPr>
        <w:t>11 409 Kč,</w:t>
      </w:r>
      <w:r w:rsidRPr="00067E16">
        <w:rPr>
          <w:bCs/>
        </w:rPr>
        <w:t xml:space="preserve"> v reálném vyjádření se zvýšila o 0,5 % (při použití indexu životních nákladů domácností důchodců),</w:t>
      </w:r>
    </w:p>
    <w:p w:rsidR="0020740A" w:rsidRPr="00067E16" w:rsidRDefault="0020740A" w:rsidP="0020740A">
      <w:pPr>
        <w:numPr>
          <w:ilvl w:val="0"/>
          <w:numId w:val="19"/>
        </w:numPr>
        <w:spacing w:after="240" w:line="360" w:lineRule="auto"/>
        <w:jc w:val="both"/>
      </w:pPr>
      <w:r w:rsidRPr="00067E16">
        <w:t>úhrnná meziroční</w:t>
      </w:r>
      <w:r w:rsidRPr="00067E16">
        <w:rPr>
          <w:b/>
        </w:rPr>
        <w:t xml:space="preserve"> míra cenové inflace činila </w:t>
      </w:r>
      <w:r w:rsidRPr="00067E16">
        <w:t>v lednu – březnu tohoto roku</w:t>
      </w:r>
      <w:r w:rsidRPr="00067E16">
        <w:rPr>
          <w:b/>
        </w:rPr>
        <w:t xml:space="preserve"> 0,5</w:t>
      </w:r>
      <w:r w:rsidRPr="00067E16">
        <w:t> </w:t>
      </w:r>
      <w:r w:rsidRPr="00067E16">
        <w:rPr>
          <w:b/>
        </w:rPr>
        <w:t xml:space="preserve">% </w:t>
      </w:r>
      <w:r w:rsidRPr="00067E16">
        <w:t>(před rokem 0,1 %);</w:t>
      </w:r>
      <w:r w:rsidRPr="00067E16">
        <w:rPr>
          <w:b/>
        </w:rPr>
        <w:t xml:space="preserve"> hlavní příčinou</w:t>
      </w:r>
      <w:r w:rsidRPr="00067E16">
        <w:t xml:space="preserve"> relativně vyššího cenového růstu než loni </w:t>
      </w:r>
      <w:r w:rsidRPr="00067E16">
        <w:rPr>
          <w:b/>
        </w:rPr>
        <w:t>byl</w:t>
      </w:r>
      <w:r w:rsidRPr="00067E16">
        <w:t xml:space="preserve"> jak obnovený </w:t>
      </w:r>
      <w:r w:rsidRPr="00067E16">
        <w:rPr>
          <w:b/>
        </w:rPr>
        <w:t xml:space="preserve">nárůst regulovaných cen </w:t>
      </w:r>
      <w:r w:rsidRPr="00067E16">
        <w:t>(kromě plynu a tepla podražily všechny komodity v bydlení),</w:t>
      </w:r>
      <w:r w:rsidRPr="00067E16">
        <w:rPr>
          <w:b/>
        </w:rPr>
        <w:t xml:space="preserve"> tak i zvýšení spotřebních daní </w:t>
      </w:r>
      <w:r w:rsidRPr="00067E16">
        <w:t>(tabákové výrobky)</w:t>
      </w:r>
      <w:r w:rsidRPr="00067E16">
        <w:rPr>
          <w:b/>
        </w:rPr>
        <w:t xml:space="preserve"> a pohyb tržních cen </w:t>
      </w:r>
      <w:r w:rsidRPr="00067E16">
        <w:t>dalších komodit</w:t>
      </w:r>
      <w:r w:rsidRPr="00067E16">
        <w:rPr>
          <w:b/>
        </w:rPr>
        <w:t xml:space="preserve"> </w:t>
      </w:r>
      <w:r w:rsidRPr="00067E16">
        <w:t>(s výjimkou pohonných hmot) – blíže viz část 2.,</w:t>
      </w:r>
    </w:p>
    <w:p w:rsidR="0020740A" w:rsidRPr="00067E16" w:rsidRDefault="0020740A" w:rsidP="0020740A">
      <w:pPr>
        <w:numPr>
          <w:ilvl w:val="0"/>
          <w:numId w:val="19"/>
        </w:numPr>
        <w:spacing w:after="240" w:line="360" w:lineRule="auto"/>
        <w:jc w:val="both"/>
      </w:pPr>
      <w:r w:rsidRPr="00067E16">
        <w:rPr>
          <w:b/>
          <w:bCs/>
        </w:rPr>
        <w:t xml:space="preserve">stav </w:t>
      </w:r>
      <w:r w:rsidRPr="00067E16">
        <w:rPr>
          <w:bCs/>
        </w:rPr>
        <w:t>bankovních</w:t>
      </w:r>
      <w:r w:rsidRPr="00067E16">
        <w:rPr>
          <w:b/>
          <w:bCs/>
        </w:rPr>
        <w:t xml:space="preserve"> půjček se oproti minulému roku zvýšil </w:t>
      </w:r>
      <w:r w:rsidRPr="00067E16">
        <w:rPr>
          <w:bCs/>
        </w:rPr>
        <w:t>(o 7,5 %) a</w:t>
      </w:r>
      <w:r w:rsidRPr="00067E16">
        <w:rPr>
          <w:b/>
          <w:bCs/>
        </w:rPr>
        <w:t> </w:t>
      </w:r>
      <w:r w:rsidRPr="00067E16">
        <w:rPr>
          <w:bCs/>
        </w:rPr>
        <w:t>k 31. březnu 2016 činil</w:t>
      </w:r>
      <w:r w:rsidRPr="00067E16">
        <w:rPr>
          <w:b/>
          <w:bCs/>
        </w:rPr>
        <w:t xml:space="preserve"> 1 331,9 mld. Kč;</w:t>
      </w:r>
      <w:r w:rsidRPr="00067E16">
        <w:t xml:space="preserve"> rozhodující díl přírůstku nadále tvořily</w:t>
      </w:r>
      <w:r w:rsidRPr="00067E16">
        <w:rPr>
          <w:b/>
          <w:bCs/>
        </w:rPr>
        <w:t xml:space="preserve"> úvěry na bydlení, které </w:t>
      </w:r>
      <w:r w:rsidRPr="00067E16">
        <w:rPr>
          <w:bCs/>
        </w:rPr>
        <w:t>meziročně</w:t>
      </w:r>
      <w:r w:rsidRPr="00067E16">
        <w:rPr>
          <w:b/>
          <w:bCs/>
        </w:rPr>
        <w:t xml:space="preserve"> vzrostly o 7,8 %,</w:t>
      </w:r>
    </w:p>
    <w:p w:rsidR="0020740A" w:rsidRPr="00067E16" w:rsidRDefault="0020740A" w:rsidP="0020740A">
      <w:pPr>
        <w:numPr>
          <w:ilvl w:val="0"/>
          <w:numId w:val="19"/>
        </w:numPr>
        <w:spacing w:line="360" w:lineRule="auto"/>
        <w:jc w:val="both"/>
      </w:pPr>
      <w:r w:rsidRPr="00067E16">
        <w:rPr>
          <w:bCs/>
        </w:rPr>
        <w:t xml:space="preserve">celkový </w:t>
      </w:r>
      <w:r w:rsidRPr="00067E16">
        <w:rPr>
          <w:b/>
          <w:bCs/>
        </w:rPr>
        <w:t>objem</w:t>
      </w:r>
      <w:r w:rsidRPr="00067E16">
        <w:t xml:space="preserve"> bankovních </w:t>
      </w:r>
      <w:r w:rsidRPr="00067E16">
        <w:rPr>
          <w:b/>
        </w:rPr>
        <w:t xml:space="preserve">úspor </w:t>
      </w:r>
      <w:r w:rsidR="00CA09FC">
        <w:rPr>
          <w:b/>
        </w:rPr>
        <w:t xml:space="preserve">dosáhl </w:t>
      </w:r>
      <w:r w:rsidRPr="00067E16">
        <w:t xml:space="preserve">podle dostupných údajů ČNB na konci prvního čtvrtletí t. r. </w:t>
      </w:r>
      <w:r w:rsidRPr="00067E16">
        <w:rPr>
          <w:b/>
          <w:bCs/>
        </w:rPr>
        <w:t xml:space="preserve">2 066,4 mld. Kč, </w:t>
      </w:r>
      <w:r w:rsidRPr="00067E16">
        <w:rPr>
          <w:bCs/>
        </w:rPr>
        <w:t>kdy došlo k meziročnímu nárůstu o 6,3 %;</w:t>
      </w:r>
      <w:r w:rsidRPr="00067E16">
        <w:rPr>
          <w:b/>
          <w:bCs/>
        </w:rPr>
        <w:t xml:space="preserve"> </w:t>
      </w:r>
      <w:r w:rsidRPr="00067E16">
        <w:rPr>
          <w:bCs/>
        </w:rPr>
        <w:t>domácnosti posílily zejména netermínovaná depozita při dalším výrazném propadu termínovaných vkladů.</w:t>
      </w:r>
    </w:p>
    <w:p w:rsidR="0020740A" w:rsidRPr="00067E16" w:rsidRDefault="0020740A" w:rsidP="0020740A">
      <w:pPr>
        <w:spacing w:line="360" w:lineRule="auto"/>
        <w:jc w:val="both"/>
        <w:rPr>
          <w:rFonts w:cs="Arial"/>
        </w:rPr>
      </w:pPr>
    </w:p>
    <w:p w:rsidR="0020740A" w:rsidRPr="00067E16" w:rsidRDefault="0020740A" w:rsidP="0020740A">
      <w:pPr>
        <w:spacing w:line="360" w:lineRule="auto"/>
        <w:jc w:val="both"/>
        <w:rPr>
          <w:rFonts w:cs="Arial"/>
        </w:rPr>
      </w:pPr>
    </w:p>
    <w:p w:rsidR="0020740A" w:rsidRPr="00067E16" w:rsidRDefault="0020740A" w:rsidP="0020740A">
      <w:pPr>
        <w:spacing w:line="360" w:lineRule="auto"/>
        <w:jc w:val="both"/>
        <w:rPr>
          <w:rFonts w:cs="Arial"/>
        </w:rPr>
      </w:pPr>
    </w:p>
    <w:p w:rsidR="0020740A" w:rsidRPr="00067E16" w:rsidRDefault="0020740A" w:rsidP="0020740A">
      <w:pPr>
        <w:spacing w:line="360" w:lineRule="auto"/>
        <w:jc w:val="both"/>
        <w:rPr>
          <w:rFonts w:cs="Arial"/>
        </w:rPr>
      </w:pPr>
    </w:p>
    <w:p w:rsidR="0020740A" w:rsidRPr="00067E16" w:rsidRDefault="0020740A" w:rsidP="0020740A">
      <w:pPr>
        <w:spacing w:line="360" w:lineRule="auto"/>
        <w:jc w:val="both"/>
        <w:rPr>
          <w:rFonts w:cs="Arial"/>
        </w:rPr>
      </w:pPr>
    </w:p>
    <w:p w:rsidR="0020740A" w:rsidRPr="00067E16" w:rsidRDefault="0020740A" w:rsidP="0020740A">
      <w:pPr>
        <w:spacing w:line="360" w:lineRule="auto"/>
        <w:jc w:val="both"/>
        <w:rPr>
          <w:rFonts w:cs="Arial"/>
        </w:rPr>
      </w:pPr>
    </w:p>
    <w:p w:rsidR="000B4160" w:rsidRPr="00067E16" w:rsidRDefault="000B4160" w:rsidP="0020740A">
      <w:pPr>
        <w:spacing w:line="360" w:lineRule="auto"/>
        <w:jc w:val="both"/>
        <w:rPr>
          <w:rFonts w:cs="Arial"/>
        </w:rPr>
      </w:pPr>
    </w:p>
    <w:p w:rsidR="000B4160" w:rsidRPr="00067E16" w:rsidRDefault="000B4160" w:rsidP="0020740A">
      <w:pPr>
        <w:spacing w:line="360" w:lineRule="auto"/>
        <w:jc w:val="both"/>
        <w:rPr>
          <w:rFonts w:cs="Arial"/>
        </w:rPr>
      </w:pPr>
    </w:p>
    <w:p w:rsidR="0020740A" w:rsidRPr="00067E16" w:rsidRDefault="0020740A" w:rsidP="0020740A">
      <w:pPr>
        <w:spacing w:line="360" w:lineRule="auto"/>
        <w:jc w:val="both"/>
        <w:rPr>
          <w:rFonts w:cs="Arial"/>
        </w:rPr>
      </w:pPr>
    </w:p>
    <w:p w:rsidR="0020740A" w:rsidRPr="00067E16" w:rsidRDefault="0020740A" w:rsidP="0020740A">
      <w:pPr>
        <w:spacing w:after="240" w:line="360" w:lineRule="auto"/>
        <w:jc w:val="both"/>
        <w:rPr>
          <w:i/>
          <w:iCs/>
        </w:rPr>
      </w:pPr>
      <w:r w:rsidRPr="00067E16">
        <w:rPr>
          <w:rFonts w:cs="Arial"/>
        </w:rPr>
        <w:lastRenderedPageBreak/>
        <w:tab/>
      </w:r>
      <w:r w:rsidRPr="00067E16">
        <w:rPr>
          <w:i/>
          <w:iCs/>
        </w:rPr>
        <w:t>V dalších částech Zprávy je uvedena základní charakteristika a hodnocení souvislostí, které v lednu - březnu 2016 obecně ovlivňovaly vývoj příjmů a výdajů domácností v České republice. Jejím hlavním cílem je vyjádřit především rozhodující tendence ve vývoji základních (dostupných) ukazatelů životní úrovně českých domácností.</w:t>
      </w:r>
    </w:p>
    <w:p w:rsidR="0020740A" w:rsidRPr="00067E16" w:rsidRDefault="0020740A" w:rsidP="0020740A">
      <w:pPr>
        <w:spacing w:after="240" w:line="360" w:lineRule="auto"/>
        <w:jc w:val="both"/>
        <w:rPr>
          <w:i/>
          <w:iCs/>
        </w:rPr>
      </w:pPr>
      <w:r w:rsidRPr="00067E16">
        <w:rPr>
          <w:i/>
          <w:iCs/>
        </w:rPr>
        <w:tab/>
        <w:t xml:space="preserve"> Součástí rozboru příjmů a výdajů domácností v tomto pojetí již není analýza dat ze statistiky rodinných účtů, a to vzhledem k zásadní věcné, organizační a metodické změně probíhající v tomto systému statistických šetření. V návaznosti na připravované nařízení „</w:t>
      </w:r>
      <w:proofErr w:type="spellStart"/>
      <w:r w:rsidRPr="00067E16">
        <w:rPr>
          <w:i/>
          <w:iCs/>
        </w:rPr>
        <w:t>Integrated</w:t>
      </w:r>
      <w:proofErr w:type="spellEnd"/>
      <w:r w:rsidRPr="00067E16">
        <w:rPr>
          <w:i/>
          <w:iCs/>
        </w:rPr>
        <w:t xml:space="preserve"> </w:t>
      </w:r>
      <w:proofErr w:type="spellStart"/>
      <w:r w:rsidRPr="00067E16">
        <w:rPr>
          <w:i/>
          <w:iCs/>
        </w:rPr>
        <w:t>European</w:t>
      </w:r>
      <w:proofErr w:type="spellEnd"/>
      <w:r w:rsidRPr="00067E16">
        <w:rPr>
          <w:i/>
          <w:iCs/>
        </w:rPr>
        <w:t xml:space="preserve"> </w:t>
      </w:r>
      <w:proofErr w:type="spellStart"/>
      <w:r w:rsidRPr="00067E16">
        <w:rPr>
          <w:i/>
          <w:iCs/>
        </w:rPr>
        <w:t>Social</w:t>
      </w:r>
      <w:proofErr w:type="spellEnd"/>
      <w:r w:rsidRPr="00067E16">
        <w:rPr>
          <w:i/>
          <w:iCs/>
        </w:rPr>
        <w:t xml:space="preserve"> </w:t>
      </w:r>
      <w:proofErr w:type="spellStart"/>
      <w:r w:rsidRPr="00067E16">
        <w:rPr>
          <w:i/>
          <w:iCs/>
        </w:rPr>
        <w:t>Statistics</w:t>
      </w:r>
      <w:proofErr w:type="spellEnd"/>
      <w:r w:rsidRPr="00067E16">
        <w:rPr>
          <w:i/>
          <w:iCs/>
        </w:rPr>
        <w:t>“ (IESS), které předpokládá integraci sociálních šetření v domácnostech a šetření na základě náhodného výběru, provádí ČSÚ reformu šetření statistiky rodinných účtů. V roce 2016 tak sice probíhá dosavadní způsob zjišťování (prováděný kvótním výběrem)</w:t>
      </w:r>
      <w:r w:rsidR="007B2BDE">
        <w:rPr>
          <w:i/>
          <w:iCs/>
        </w:rPr>
        <w:t>, avšak již</w:t>
      </w:r>
      <w:r w:rsidRPr="00067E16">
        <w:rPr>
          <w:i/>
          <w:iCs/>
        </w:rPr>
        <w:t xml:space="preserve"> na redukovaném vzorku domácností, který nebude dostatečně velký, aby umožnil zpracování jakýchkoliv reprezentativních výstupů v původním rozsahu a podrobnostech potřebných pro průběžné zprávy tohoto typu. Data a následná publikace ČSÚ za celý rok 2016 budou proto oproti minulosti pozměněny (s ohledem na možnosti zredukovaného vzorku) a budou pouze informativní (nesrovnatelné s minulými daty). Od roku 2017 se předpokládá, že šetření statistiky rodinných účtů budou prováděna již v rámci nového modelu metodou náhodného výběru, což ovlivní termín i podobu publikovaných (celoročních) výsledků.  </w:t>
      </w:r>
    </w:p>
    <w:p w:rsidR="0020740A" w:rsidRPr="00067E16" w:rsidRDefault="0020740A" w:rsidP="0020740A">
      <w:pPr>
        <w:spacing w:after="240" w:line="360" w:lineRule="auto"/>
        <w:jc w:val="both"/>
        <w:rPr>
          <w:i/>
          <w:iCs/>
        </w:rPr>
      </w:pPr>
      <w:r w:rsidRPr="00067E16">
        <w:rPr>
          <w:i/>
          <w:iCs/>
        </w:rPr>
        <w:tab/>
        <w:t>Širší zhodnocení vývoje bude – při zohlednění výše uvedených skutečností – předmětem analýzy těchto atributů za 1. pololetí 2016, která bude předložena vládě koncem října letošního roku.</w:t>
      </w:r>
    </w:p>
    <w:p w:rsidR="0020740A" w:rsidRPr="00067E16" w:rsidRDefault="0020740A" w:rsidP="0020740A">
      <w:pPr>
        <w:spacing w:line="360" w:lineRule="auto"/>
        <w:jc w:val="both"/>
        <w:rPr>
          <w:i/>
          <w:iCs/>
        </w:rPr>
      </w:pPr>
      <w:r w:rsidRPr="00067E16">
        <w:rPr>
          <w:i/>
          <w:iCs/>
        </w:rPr>
        <w:tab/>
        <w:t>Při zpracování materiálu byla použita zejména data a analýzy: MPSV, ČSÚ, MF, ČNB, ČSSZ, TREXIMY a odborného a periodického tisku.</w:t>
      </w:r>
    </w:p>
    <w:p w:rsidR="0020740A" w:rsidRPr="00067E16" w:rsidRDefault="0020740A" w:rsidP="0020740A">
      <w:pPr>
        <w:jc w:val="both"/>
        <w:rPr>
          <w:i/>
          <w:iCs/>
        </w:rPr>
      </w:pPr>
    </w:p>
    <w:p w:rsidR="0020740A" w:rsidRPr="00067E16" w:rsidRDefault="0020740A" w:rsidP="0020740A">
      <w:pPr>
        <w:jc w:val="both"/>
        <w:rPr>
          <w:i/>
          <w:iCs/>
        </w:rPr>
      </w:pPr>
    </w:p>
    <w:p w:rsidR="0020740A" w:rsidRPr="00067E16" w:rsidRDefault="0020740A" w:rsidP="0020740A">
      <w:pPr>
        <w:spacing w:line="360" w:lineRule="auto"/>
        <w:jc w:val="both"/>
        <w:rPr>
          <w:i/>
          <w:iCs/>
          <w:u w:val="single"/>
        </w:rPr>
      </w:pPr>
      <w:r w:rsidRPr="00067E16">
        <w:rPr>
          <w:i/>
          <w:iCs/>
          <w:u w:val="single"/>
        </w:rPr>
        <w:t>Zpráva obsahuje data platná k 15. červenci 2016.</w:t>
      </w:r>
    </w:p>
    <w:p w:rsidR="0020740A" w:rsidRPr="00067E16" w:rsidRDefault="0020740A" w:rsidP="0020740A">
      <w:pPr>
        <w:spacing w:line="360" w:lineRule="auto"/>
        <w:jc w:val="both"/>
        <w:rPr>
          <w:i/>
          <w:iCs/>
          <w:u w:val="single"/>
        </w:rPr>
      </w:pPr>
    </w:p>
    <w:p w:rsidR="0020740A" w:rsidRPr="00067E16" w:rsidRDefault="0020740A" w:rsidP="0020740A">
      <w:pPr>
        <w:spacing w:line="360" w:lineRule="auto"/>
        <w:jc w:val="both"/>
        <w:rPr>
          <w:i/>
          <w:iCs/>
          <w:u w:val="single"/>
        </w:rPr>
      </w:pPr>
    </w:p>
    <w:p w:rsidR="0020740A" w:rsidRPr="00067E16" w:rsidRDefault="0020740A" w:rsidP="0020740A">
      <w:pPr>
        <w:spacing w:line="360" w:lineRule="auto"/>
        <w:jc w:val="center"/>
        <w:rPr>
          <w:i/>
          <w:iCs/>
          <w:u w:val="single"/>
        </w:rPr>
      </w:pPr>
      <w:r w:rsidRPr="00067E16">
        <w:rPr>
          <w:i/>
          <w:iCs/>
          <w:sz w:val="48"/>
        </w:rPr>
        <w:t>*</w:t>
      </w:r>
      <w:r w:rsidRPr="00067E16">
        <w:rPr>
          <w:i/>
          <w:iCs/>
          <w:sz w:val="48"/>
        </w:rPr>
        <w:tab/>
      </w:r>
      <w:r w:rsidRPr="00067E16">
        <w:rPr>
          <w:i/>
          <w:iCs/>
          <w:sz w:val="48"/>
        </w:rPr>
        <w:tab/>
        <w:t>*</w:t>
      </w:r>
      <w:r w:rsidRPr="00067E16">
        <w:rPr>
          <w:i/>
          <w:iCs/>
          <w:sz w:val="48"/>
        </w:rPr>
        <w:tab/>
      </w:r>
      <w:r w:rsidRPr="00067E16">
        <w:rPr>
          <w:i/>
          <w:iCs/>
          <w:sz w:val="48"/>
        </w:rPr>
        <w:tab/>
        <w:t>*</w:t>
      </w:r>
    </w:p>
    <w:p w:rsidR="0020740A" w:rsidRPr="00067E16" w:rsidRDefault="0020740A" w:rsidP="0020740A">
      <w:pPr>
        <w:spacing w:line="360" w:lineRule="auto"/>
      </w:pPr>
    </w:p>
    <w:p w:rsidR="00790329" w:rsidRPr="00067E16" w:rsidRDefault="00790329" w:rsidP="00790329">
      <w:pPr>
        <w:pStyle w:val="Nadpis1"/>
        <w:numPr>
          <w:ilvl w:val="0"/>
          <w:numId w:val="0"/>
        </w:numPr>
        <w:spacing w:line="240" w:lineRule="auto"/>
      </w:pPr>
      <w:r w:rsidRPr="00067E16">
        <w:lastRenderedPageBreak/>
        <w:t>1. Příjmy domácností</w:t>
      </w:r>
    </w:p>
    <w:p w:rsidR="007A3740" w:rsidRPr="00067E16" w:rsidRDefault="007A3740" w:rsidP="00790329">
      <w:pPr>
        <w:spacing w:line="360" w:lineRule="auto"/>
        <w:rPr>
          <w:b/>
          <w:bCs/>
          <w:i/>
          <w:iCs/>
          <w:sz w:val="32"/>
        </w:rPr>
      </w:pPr>
    </w:p>
    <w:p w:rsidR="00790329" w:rsidRPr="00067E16" w:rsidRDefault="00790329" w:rsidP="00790329">
      <w:pPr>
        <w:spacing w:line="360" w:lineRule="auto"/>
        <w:rPr>
          <w:b/>
          <w:bCs/>
          <w:i/>
          <w:iCs/>
          <w:sz w:val="32"/>
        </w:rPr>
      </w:pPr>
      <w:r w:rsidRPr="00067E16">
        <w:rPr>
          <w:b/>
          <w:bCs/>
          <w:i/>
          <w:iCs/>
          <w:sz w:val="32"/>
        </w:rPr>
        <w:t>1. 1 Základní charakteristika</w:t>
      </w:r>
    </w:p>
    <w:p w:rsidR="007A3740" w:rsidRPr="00067E16" w:rsidRDefault="007A3740" w:rsidP="00790329">
      <w:pPr>
        <w:spacing w:line="360" w:lineRule="auto"/>
        <w:jc w:val="both"/>
      </w:pPr>
    </w:p>
    <w:p w:rsidR="001D374E" w:rsidRPr="00067E16" w:rsidRDefault="001D374E" w:rsidP="001D374E">
      <w:pPr>
        <w:spacing w:line="360" w:lineRule="auto"/>
        <w:jc w:val="both"/>
        <w:rPr>
          <w:rFonts w:cs="Arial"/>
        </w:rPr>
      </w:pPr>
      <w:r w:rsidRPr="00067E16">
        <w:tab/>
      </w:r>
      <w:r w:rsidRPr="00067E16">
        <w:rPr>
          <w:rFonts w:cs="Arial"/>
          <w:b/>
          <w:bCs/>
        </w:rPr>
        <w:t xml:space="preserve">Běžné příjmy </w:t>
      </w:r>
      <w:r w:rsidRPr="00067E16">
        <w:rPr>
          <w:rFonts w:cs="Arial"/>
        </w:rPr>
        <w:t>sektoru domácností</w:t>
      </w:r>
      <w:r w:rsidRPr="00067E16">
        <w:rPr>
          <w:rFonts w:cs="Arial"/>
          <w:b/>
          <w:bCs/>
        </w:rPr>
        <w:t xml:space="preserve"> </w:t>
      </w:r>
      <w:r w:rsidRPr="00067E16">
        <w:rPr>
          <w:rFonts w:cs="Arial"/>
        </w:rPr>
        <w:t>(podle statistiky národních účtů)</w:t>
      </w:r>
      <w:r w:rsidRPr="00067E16">
        <w:rPr>
          <w:rFonts w:cs="Arial"/>
          <w:b/>
          <w:bCs/>
        </w:rPr>
        <w:t xml:space="preserve"> dosáhly </w:t>
      </w:r>
      <w:r w:rsidRPr="00067E16">
        <w:rPr>
          <w:rFonts w:cs="Arial"/>
        </w:rPr>
        <w:t xml:space="preserve">celkové </w:t>
      </w:r>
      <w:r w:rsidRPr="00067E16">
        <w:rPr>
          <w:rFonts w:cs="Arial"/>
          <w:b/>
          <w:bCs/>
        </w:rPr>
        <w:t>výše</w:t>
      </w:r>
      <w:r w:rsidRPr="00067E16">
        <w:rPr>
          <w:rFonts w:cs="Arial"/>
        </w:rPr>
        <w:t xml:space="preserve"> </w:t>
      </w:r>
      <w:r w:rsidRPr="00067E16">
        <w:rPr>
          <w:rFonts w:cs="Arial"/>
          <w:b/>
          <w:bCs/>
        </w:rPr>
        <w:t>841,7 mld. Kč.</w:t>
      </w:r>
      <w:r w:rsidRPr="00067E16">
        <w:rPr>
          <w:rFonts w:cs="Arial"/>
        </w:rPr>
        <w:t xml:space="preserve"> Meziročně tak </w:t>
      </w:r>
      <w:r w:rsidRPr="00067E16">
        <w:rPr>
          <w:rFonts w:cs="Arial"/>
          <w:b/>
        </w:rPr>
        <w:t>vzrostly</w:t>
      </w:r>
      <w:r w:rsidRPr="00067E16">
        <w:rPr>
          <w:rFonts w:cs="Arial"/>
          <w:b/>
          <w:bCs/>
        </w:rPr>
        <w:t xml:space="preserve"> nominálně o 2,9 % </w:t>
      </w:r>
      <w:r w:rsidRPr="00067E16">
        <w:rPr>
          <w:rFonts w:cs="Arial"/>
          <w:bCs/>
        </w:rPr>
        <w:t xml:space="preserve">(+24,0 mld. Kč) </w:t>
      </w:r>
      <w:r w:rsidRPr="00067E16">
        <w:rPr>
          <w:rFonts w:cs="Arial"/>
          <w:b/>
          <w:bCs/>
        </w:rPr>
        <w:t>a reálně o 2,4 %</w:t>
      </w:r>
      <w:r w:rsidRPr="00067E16">
        <w:rPr>
          <w:rFonts w:cs="Arial"/>
          <w:bCs/>
        </w:rPr>
        <w:t xml:space="preserve"> (při růstu hrubého domácího produktu ve stálých cenách o 3,0 %)</w:t>
      </w:r>
      <w:r w:rsidRPr="00067E16">
        <w:rPr>
          <w:rFonts w:cs="Arial"/>
        </w:rPr>
        <w:t>.</w:t>
      </w:r>
    </w:p>
    <w:p w:rsidR="001D374E" w:rsidRPr="00067E16" w:rsidRDefault="001D374E" w:rsidP="001D374E">
      <w:pPr>
        <w:rPr>
          <w:rFonts w:cs="Arial"/>
          <w:sz w:val="28"/>
        </w:rPr>
      </w:pPr>
    </w:p>
    <w:p w:rsidR="001D374E" w:rsidRPr="00067E16" w:rsidRDefault="001D374E" w:rsidP="001D374E">
      <w:pPr>
        <w:rPr>
          <w:rFonts w:cs="Arial"/>
          <w:sz w:val="28"/>
        </w:rPr>
      </w:pPr>
    </w:p>
    <w:p w:rsidR="001D374E" w:rsidRPr="00067E16" w:rsidRDefault="001D374E" w:rsidP="001D374E">
      <w:pPr>
        <w:ind w:left="708"/>
        <w:jc w:val="both"/>
        <w:rPr>
          <w:rFonts w:cs="Arial"/>
        </w:rPr>
      </w:pPr>
      <w:r w:rsidRPr="00067E16">
        <w:rPr>
          <w:rFonts w:cs="Arial"/>
          <w:b/>
          <w:bCs/>
        </w:rPr>
        <w:t>Na</w:t>
      </w:r>
      <w:r w:rsidRPr="00067E16">
        <w:rPr>
          <w:rFonts w:cs="Arial"/>
        </w:rPr>
        <w:t xml:space="preserve"> </w:t>
      </w:r>
      <w:r w:rsidRPr="00067E16">
        <w:rPr>
          <w:rFonts w:cs="Arial"/>
          <w:b/>
          <w:bCs/>
        </w:rPr>
        <w:t>reálném růstu</w:t>
      </w:r>
      <w:r w:rsidRPr="00067E16">
        <w:rPr>
          <w:rFonts w:cs="Arial"/>
        </w:rPr>
        <w:t xml:space="preserve"> úhrnného objemu</w:t>
      </w:r>
      <w:r w:rsidRPr="00067E16">
        <w:rPr>
          <w:rFonts w:cs="Arial"/>
          <w:b/>
          <w:bCs/>
        </w:rPr>
        <w:t xml:space="preserve"> běžných příjmů </w:t>
      </w:r>
      <w:r w:rsidRPr="00067E16">
        <w:rPr>
          <w:rFonts w:cs="Arial"/>
          <w:b/>
        </w:rPr>
        <w:t>se</w:t>
      </w:r>
      <w:r w:rsidRPr="00067E16">
        <w:rPr>
          <w:rFonts w:cs="Arial"/>
        </w:rPr>
        <w:t xml:space="preserve"> přibližně 77 % </w:t>
      </w:r>
      <w:r w:rsidRPr="00067E16">
        <w:rPr>
          <w:rFonts w:cs="Arial"/>
          <w:b/>
          <w:bCs/>
        </w:rPr>
        <w:t xml:space="preserve">podílely náhrady zaměstnancům </w:t>
      </w:r>
      <w:r w:rsidRPr="00067E16">
        <w:rPr>
          <w:rFonts w:cs="Arial"/>
          <w:bCs/>
        </w:rPr>
        <w:t xml:space="preserve">(růst o 5,3 %) a přibližně jednou pětinou </w:t>
      </w:r>
      <w:r w:rsidRPr="00067E16">
        <w:rPr>
          <w:rFonts w:cs="Arial"/>
          <w:b/>
        </w:rPr>
        <w:t xml:space="preserve">sociální dávky </w:t>
      </w:r>
      <w:r w:rsidRPr="00067E16">
        <w:rPr>
          <w:rFonts w:cs="Arial"/>
        </w:rPr>
        <w:t xml:space="preserve">(+4,1 %). </w:t>
      </w:r>
      <w:r w:rsidRPr="00067E16">
        <w:rPr>
          <w:rFonts w:cs="Arial"/>
          <w:bCs/>
        </w:rPr>
        <w:t>V menší míře pak</w:t>
      </w:r>
      <w:r w:rsidRPr="00067E16">
        <w:rPr>
          <w:rFonts w:cs="Arial"/>
        </w:rPr>
        <w:t xml:space="preserve"> na něm participovaly</w:t>
      </w:r>
      <w:r w:rsidRPr="00067E16">
        <w:rPr>
          <w:rFonts w:cs="Arial"/>
          <w:b/>
        </w:rPr>
        <w:t xml:space="preserve"> ostatní běžné transfery </w:t>
      </w:r>
      <w:r w:rsidRPr="00067E16">
        <w:rPr>
          <w:rFonts w:cs="Arial"/>
        </w:rPr>
        <w:t xml:space="preserve">– jedná se o náhrady z neživotního pojištění, výhry ze sázek a loterií apod. (+1,9 %). Naopak </w:t>
      </w:r>
      <w:r w:rsidRPr="00067E16">
        <w:rPr>
          <w:rFonts w:cs="Arial"/>
          <w:b/>
        </w:rPr>
        <w:t>poklesla kupní síla</w:t>
      </w:r>
      <w:r w:rsidRPr="00067E16">
        <w:rPr>
          <w:rFonts w:cs="Arial"/>
        </w:rPr>
        <w:t xml:space="preserve"> (objemu) </w:t>
      </w:r>
      <w:r w:rsidRPr="00067E16">
        <w:rPr>
          <w:rFonts w:cs="Arial"/>
          <w:b/>
        </w:rPr>
        <w:t>důchodů z vlastnictví</w:t>
      </w:r>
      <w:r w:rsidRPr="00067E16">
        <w:rPr>
          <w:rFonts w:cs="Arial"/>
        </w:rPr>
        <w:t xml:space="preserve"> (-25,0 %) a </w:t>
      </w:r>
      <w:r w:rsidRPr="00067E16">
        <w:rPr>
          <w:rFonts w:cs="Arial"/>
          <w:b/>
          <w:bCs/>
        </w:rPr>
        <w:t>smíšeného důchodu</w:t>
      </w:r>
      <w:r w:rsidRPr="00067E16">
        <w:rPr>
          <w:rFonts w:cs="Arial"/>
        </w:rPr>
        <w:t xml:space="preserve"> (zahrnující zejména příjmy z podnikatelských aktivit) – reálný pokles o 1,3 %.</w:t>
      </w:r>
    </w:p>
    <w:p w:rsidR="001D374E" w:rsidRPr="00067E16" w:rsidRDefault="001D374E" w:rsidP="001D374E">
      <w:pPr>
        <w:ind w:left="708"/>
        <w:jc w:val="both"/>
        <w:rPr>
          <w:rFonts w:cs="Arial"/>
        </w:rPr>
      </w:pPr>
    </w:p>
    <w:p w:rsidR="001D374E" w:rsidRPr="00067E16" w:rsidRDefault="001D374E" w:rsidP="001D374E">
      <w:pPr>
        <w:ind w:left="708"/>
        <w:jc w:val="both"/>
        <w:rPr>
          <w:rFonts w:cs="Arial"/>
        </w:rPr>
      </w:pPr>
    </w:p>
    <w:p w:rsidR="001D374E" w:rsidRPr="00067E16" w:rsidRDefault="001D374E" w:rsidP="001D374E">
      <w:pPr>
        <w:ind w:left="708"/>
        <w:jc w:val="both"/>
        <w:rPr>
          <w:rFonts w:cs="Arial"/>
        </w:rPr>
      </w:pPr>
    </w:p>
    <w:p w:rsidR="001D374E" w:rsidRPr="00067E16" w:rsidRDefault="001D374E" w:rsidP="001D374E">
      <w:pPr>
        <w:spacing w:line="360" w:lineRule="auto"/>
        <w:jc w:val="both"/>
        <w:rPr>
          <w:rFonts w:cs="Arial"/>
        </w:rPr>
      </w:pPr>
      <w:r w:rsidRPr="00067E16">
        <w:rPr>
          <w:rFonts w:cs="Arial"/>
        </w:rPr>
        <w:tab/>
        <w:t xml:space="preserve">Po odpočtu běžných výdajů (především daní z příjmů a příspěvků na sociální a zdravotní pojištění) zůstal sektoru domácností </w:t>
      </w:r>
      <w:r w:rsidRPr="00067E16">
        <w:rPr>
          <w:rFonts w:cs="Arial"/>
          <w:b/>
          <w:bCs/>
        </w:rPr>
        <w:t xml:space="preserve">úhrnný disponibilní důchod </w:t>
      </w:r>
      <w:r w:rsidRPr="00067E16">
        <w:rPr>
          <w:rFonts w:cs="Arial"/>
        </w:rPr>
        <w:t xml:space="preserve">v částce </w:t>
      </w:r>
      <w:r w:rsidRPr="00067E16">
        <w:rPr>
          <w:rFonts w:cs="Arial"/>
          <w:b/>
          <w:bCs/>
        </w:rPr>
        <w:t>559,2 mld. Kč,</w:t>
      </w:r>
      <w:r w:rsidRPr="00067E16">
        <w:rPr>
          <w:rFonts w:cs="Arial"/>
        </w:rPr>
        <w:t xml:space="preserve"> což bylo </w:t>
      </w:r>
      <w:r w:rsidRPr="00067E16">
        <w:rPr>
          <w:rFonts w:cs="Arial"/>
          <w:b/>
          <w:bCs/>
        </w:rPr>
        <w:t xml:space="preserve">reálně o 1,0 % více </w:t>
      </w:r>
      <w:r w:rsidRPr="00067E16">
        <w:rPr>
          <w:rFonts w:cs="Arial"/>
        </w:rPr>
        <w:t>než ve srovnatelném loňském období (kdy se kupní síla jeho objemu meziročně zvýšila o 2,9 %).</w:t>
      </w:r>
    </w:p>
    <w:p w:rsidR="001D374E" w:rsidRPr="00067E16" w:rsidRDefault="001D374E" w:rsidP="001D374E">
      <w:pPr>
        <w:spacing w:line="360" w:lineRule="auto"/>
        <w:jc w:val="both"/>
        <w:rPr>
          <w:rFonts w:cs="Arial"/>
        </w:rPr>
      </w:pPr>
    </w:p>
    <w:p w:rsidR="001D374E" w:rsidRPr="00067E16" w:rsidRDefault="001D374E" w:rsidP="001D374E">
      <w:pPr>
        <w:spacing w:line="360" w:lineRule="auto"/>
        <w:jc w:val="both"/>
        <w:rPr>
          <w:rFonts w:cs="Arial"/>
          <w:b/>
        </w:rPr>
      </w:pPr>
      <w:r w:rsidRPr="00067E16">
        <w:rPr>
          <w:rFonts w:cs="Arial"/>
        </w:rPr>
        <w:tab/>
      </w:r>
      <w:r w:rsidRPr="00067E16">
        <w:rPr>
          <w:rFonts w:cs="Arial"/>
          <w:b/>
        </w:rPr>
        <w:t>Relace disponibilního důchodu k objemu hrubého domácího produktu</w:t>
      </w:r>
      <w:r w:rsidRPr="00067E16">
        <w:rPr>
          <w:rFonts w:cs="Arial"/>
        </w:rPr>
        <w:t xml:space="preserve"> (v běžných cenách) meziročně </w:t>
      </w:r>
      <w:r w:rsidRPr="00067E16">
        <w:rPr>
          <w:rFonts w:cs="Arial"/>
          <w:b/>
        </w:rPr>
        <w:t>vzrostla</w:t>
      </w:r>
      <w:r w:rsidRPr="00067E16">
        <w:rPr>
          <w:rFonts w:cs="Arial"/>
        </w:rPr>
        <w:t xml:space="preserve"> o 0,7 p. b. na </w:t>
      </w:r>
      <w:r w:rsidRPr="00067E16">
        <w:rPr>
          <w:rFonts w:cs="Arial"/>
          <w:b/>
        </w:rPr>
        <w:t>47,9 %.</w:t>
      </w:r>
    </w:p>
    <w:p w:rsidR="001D374E" w:rsidRPr="00067E16" w:rsidRDefault="001D374E" w:rsidP="001D374E">
      <w:pPr>
        <w:spacing w:line="360" w:lineRule="auto"/>
        <w:jc w:val="both"/>
        <w:rPr>
          <w:rFonts w:cs="Arial"/>
          <w:b/>
          <w:bCs/>
        </w:rPr>
      </w:pPr>
    </w:p>
    <w:p w:rsidR="001D374E" w:rsidRPr="00067E16" w:rsidRDefault="001D374E" w:rsidP="001D374E">
      <w:pPr>
        <w:spacing w:line="360" w:lineRule="auto"/>
        <w:jc w:val="both"/>
        <w:rPr>
          <w:rFonts w:cs="Arial"/>
          <w:b/>
          <w:bCs/>
        </w:rPr>
      </w:pPr>
    </w:p>
    <w:p w:rsidR="001D374E" w:rsidRPr="00067E16" w:rsidRDefault="001D374E" w:rsidP="001D374E">
      <w:pPr>
        <w:spacing w:line="360" w:lineRule="auto"/>
        <w:jc w:val="both"/>
        <w:rPr>
          <w:rFonts w:cs="Arial"/>
        </w:rPr>
      </w:pPr>
      <w:r w:rsidRPr="00067E16">
        <w:rPr>
          <w:rFonts w:cs="Arial"/>
        </w:rPr>
        <w:tab/>
        <w:t>Podrobnější číselné údaje o vývoji ukazatelů v sektoru domácností jsou součástí tabulky č. 1 v příloze.</w:t>
      </w:r>
    </w:p>
    <w:p w:rsidR="001D374E" w:rsidRPr="00067E16" w:rsidRDefault="001D374E" w:rsidP="001D374E">
      <w:pPr>
        <w:spacing w:line="360" w:lineRule="auto"/>
        <w:rPr>
          <w:rFonts w:cs="Arial"/>
        </w:rPr>
      </w:pPr>
    </w:p>
    <w:p w:rsidR="001D374E" w:rsidRPr="00067E16" w:rsidRDefault="001D374E" w:rsidP="001D374E">
      <w:pPr>
        <w:spacing w:line="360" w:lineRule="auto"/>
        <w:rPr>
          <w:rFonts w:cs="Arial"/>
        </w:rPr>
      </w:pPr>
    </w:p>
    <w:p w:rsidR="007A3740" w:rsidRPr="00067E16" w:rsidRDefault="007A3740" w:rsidP="00790329">
      <w:pPr>
        <w:spacing w:line="360" w:lineRule="auto"/>
        <w:jc w:val="both"/>
      </w:pPr>
    </w:p>
    <w:p w:rsidR="00643A5A" w:rsidRPr="00067E16" w:rsidRDefault="00643A5A" w:rsidP="00790329">
      <w:pPr>
        <w:spacing w:line="360" w:lineRule="auto"/>
        <w:rPr>
          <w:rFonts w:cs="Arial"/>
        </w:rPr>
      </w:pPr>
    </w:p>
    <w:p w:rsidR="00AE1B0D" w:rsidRPr="00067E16" w:rsidRDefault="00AE1B0D" w:rsidP="00790329">
      <w:pPr>
        <w:spacing w:line="360" w:lineRule="auto"/>
        <w:rPr>
          <w:rFonts w:cs="Arial"/>
        </w:rPr>
      </w:pPr>
    </w:p>
    <w:p w:rsidR="00AE1B0D" w:rsidRPr="00067E16" w:rsidRDefault="00AE1B0D" w:rsidP="00790329">
      <w:pPr>
        <w:spacing w:line="360" w:lineRule="auto"/>
        <w:rPr>
          <w:rFonts w:cs="Arial"/>
        </w:rPr>
      </w:pPr>
    </w:p>
    <w:p w:rsidR="00F92245" w:rsidRPr="00067E16" w:rsidRDefault="00F92245" w:rsidP="008325AA">
      <w:pPr>
        <w:spacing w:afterLines="120"/>
        <w:rPr>
          <w:rFonts w:cs="Arial"/>
          <w:b/>
          <w:sz w:val="28"/>
          <w:szCs w:val="28"/>
        </w:rPr>
      </w:pPr>
      <w:r w:rsidRPr="00067E16">
        <w:rPr>
          <w:rFonts w:cs="Arial"/>
          <w:b/>
          <w:sz w:val="28"/>
          <w:szCs w:val="28"/>
        </w:rPr>
        <w:lastRenderedPageBreak/>
        <w:t>1. 2 Mzdy</w:t>
      </w:r>
    </w:p>
    <w:p w:rsidR="00F92245" w:rsidRPr="00067E16" w:rsidRDefault="00F92245" w:rsidP="00F92245">
      <w:pPr>
        <w:spacing w:line="360" w:lineRule="auto"/>
        <w:jc w:val="both"/>
        <w:rPr>
          <w:rFonts w:cs="Arial"/>
          <w:b/>
          <w:szCs w:val="24"/>
        </w:rPr>
      </w:pPr>
    </w:p>
    <w:p w:rsidR="00F92245" w:rsidRPr="00067E16" w:rsidRDefault="00F92245" w:rsidP="00F92245">
      <w:pPr>
        <w:spacing w:line="360" w:lineRule="auto"/>
        <w:jc w:val="both"/>
        <w:rPr>
          <w:rFonts w:cs="Arial"/>
          <w:szCs w:val="24"/>
        </w:rPr>
      </w:pPr>
      <w:r w:rsidRPr="00067E16">
        <w:rPr>
          <w:rFonts w:cs="Arial"/>
        </w:rPr>
        <w:tab/>
      </w:r>
      <w:r w:rsidRPr="00067E16">
        <w:rPr>
          <w:rFonts w:cs="Arial"/>
          <w:b/>
          <w:szCs w:val="24"/>
        </w:rPr>
        <w:t>Rozhodující část</w:t>
      </w:r>
      <w:r w:rsidRPr="00067E16">
        <w:rPr>
          <w:rFonts w:cs="Arial"/>
          <w:szCs w:val="24"/>
        </w:rPr>
        <w:t xml:space="preserve"> peněžních </w:t>
      </w:r>
      <w:r w:rsidRPr="00067E16">
        <w:rPr>
          <w:rFonts w:cs="Arial"/>
          <w:b/>
          <w:szCs w:val="24"/>
        </w:rPr>
        <w:t>příjmů domácností tvořily mzdy.</w:t>
      </w:r>
      <w:r w:rsidRPr="00067E16">
        <w:rPr>
          <w:rFonts w:cs="Arial"/>
          <w:szCs w:val="24"/>
        </w:rPr>
        <w:t xml:space="preserve"> Celkový </w:t>
      </w:r>
      <w:r w:rsidRPr="00067E16">
        <w:rPr>
          <w:rFonts w:cs="Arial"/>
          <w:b/>
          <w:szCs w:val="24"/>
        </w:rPr>
        <w:t>objem mzdových prostředků</w:t>
      </w:r>
      <w:r w:rsidRPr="00067E16">
        <w:rPr>
          <w:rFonts w:cs="Arial"/>
          <w:szCs w:val="24"/>
        </w:rPr>
        <w:t xml:space="preserve"> (bez ostatních osobních nákladů) zúčtovaný všem zaměstnancům k výplatě za celé národní hospodářství v 1. čtvrtletí 2016 činil </w:t>
      </w:r>
      <w:r w:rsidRPr="00067E16">
        <w:rPr>
          <w:rFonts w:cs="Arial"/>
          <w:b/>
          <w:szCs w:val="24"/>
        </w:rPr>
        <w:t>308,0 mld. Kč</w:t>
      </w:r>
      <w:r w:rsidRPr="00067E16">
        <w:rPr>
          <w:rFonts w:cs="Arial"/>
          <w:szCs w:val="24"/>
        </w:rPr>
        <w:t xml:space="preserve"> a byl tak nominálně </w:t>
      </w:r>
      <w:r w:rsidRPr="00067E16">
        <w:rPr>
          <w:rFonts w:cs="Arial"/>
          <w:b/>
          <w:szCs w:val="24"/>
        </w:rPr>
        <w:t>o 6,6 % vyšší</w:t>
      </w:r>
      <w:r w:rsidRPr="00067E16">
        <w:rPr>
          <w:rFonts w:cs="Arial"/>
          <w:szCs w:val="24"/>
        </w:rPr>
        <w:t xml:space="preserve"> než ve stejném období předchozího roku.</w:t>
      </w:r>
    </w:p>
    <w:p w:rsidR="00F92245" w:rsidRPr="00067E16" w:rsidRDefault="00F92245" w:rsidP="00F92245">
      <w:pPr>
        <w:spacing w:line="360" w:lineRule="auto"/>
        <w:jc w:val="both"/>
        <w:rPr>
          <w:rFonts w:cs="Arial"/>
          <w:szCs w:val="24"/>
        </w:rPr>
      </w:pPr>
    </w:p>
    <w:p w:rsidR="00F92245" w:rsidRPr="00067E16" w:rsidRDefault="00F92245" w:rsidP="00F92245">
      <w:pPr>
        <w:spacing w:line="360" w:lineRule="auto"/>
        <w:jc w:val="both"/>
        <w:rPr>
          <w:rFonts w:cs="Arial"/>
          <w:bCs/>
          <w:szCs w:val="24"/>
        </w:rPr>
      </w:pPr>
      <w:r w:rsidRPr="00067E16">
        <w:rPr>
          <w:rFonts w:cs="Arial"/>
          <w:szCs w:val="24"/>
        </w:rPr>
        <w:tab/>
      </w:r>
      <w:r w:rsidRPr="00067E16">
        <w:rPr>
          <w:rFonts w:cs="Arial"/>
          <w:b/>
          <w:szCs w:val="24"/>
        </w:rPr>
        <w:t>Průměrná hrubá měsíční nominální mzda</w:t>
      </w:r>
      <w:r w:rsidRPr="00067E16">
        <w:rPr>
          <w:rFonts w:cs="Arial"/>
          <w:bCs/>
          <w:szCs w:val="24"/>
        </w:rPr>
        <w:t xml:space="preserve"> na přepočtené počty zaměstnanců </w:t>
      </w:r>
      <w:r w:rsidRPr="00067E16">
        <w:rPr>
          <w:rFonts w:cs="Arial"/>
          <w:b/>
          <w:szCs w:val="24"/>
        </w:rPr>
        <w:t>v národním hospodářství dosáhla</w:t>
      </w:r>
      <w:r w:rsidRPr="00067E16">
        <w:rPr>
          <w:rFonts w:cs="Arial"/>
          <w:szCs w:val="24"/>
        </w:rPr>
        <w:t xml:space="preserve"> </w:t>
      </w:r>
      <w:r w:rsidRPr="00067E16">
        <w:rPr>
          <w:rFonts w:cs="Arial"/>
          <w:bCs/>
          <w:szCs w:val="24"/>
        </w:rPr>
        <w:t xml:space="preserve">v 1. čtvrtletí letošního roku </w:t>
      </w:r>
      <w:r w:rsidRPr="00067E16">
        <w:rPr>
          <w:rFonts w:cs="Arial"/>
          <w:b/>
          <w:szCs w:val="24"/>
        </w:rPr>
        <w:t>výše</w:t>
      </w:r>
      <w:r w:rsidRPr="00067E16">
        <w:rPr>
          <w:rFonts w:cs="Arial"/>
          <w:bCs/>
          <w:szCs w:val="24"/>
        </w:rPr>
        <w:t xml:space="preserve"> </w:t>
      </w:r>
      <w:r w:rsidRPr="00067E16">
        <w:rPr>
          <w:rFonts w:cs="Arial"/>
          <w:b/>
          <w:szCs w:val="24"/>
        </w:rPr>
        <w:t>26 480 Kč,</w:t>
      </w:r>
      <w:r w:rsidRPr="00067E16">
        <w:rPr>
          <w:rFonts w:cs="Arial"/>
          <w:szCs w:val="24"/>
        </w:rPr>
        <w:t xml:space="preserve"> což představovalo </w:t>
      </w:r>
      <w:r w:rsidRPr="00067E16">
        <w:rPr>
          <w:rFonts w:cs="Arial"/>
          <w:b/>
          <w:szCs w:val="24"/>
        </w:rPr>
        <w:t>meziroční nominální</w:t>
      </w:r>
      <w:r w:rsidRPr="00067E16">
        <w:rPr>
          <w:rFonts w:cs="Arial"/>
          <w:szCs w:val="24"/>
        </w:rPr>
        <w:t xml:space="preserve"> </w:t>
      </w:r>
      <w:r w:rsidRPr="00067E16">
        <w:rPr>
          <w:rFonts w:cs="Arial"/>
          <w:b/>
          <w:szCs w:val="24"/>
        </w:rPr>
        <w:t>nárůst 4,4 %,</w:t>
      </w:r>
      <w:r w:rsidRPr="00067E16">
        <w:rPr>
          <w:rFonts w:cs="Arial"/>
          <w:szCs w:val="24"/>
        </w:rPr>
        <w:t xml:space="preserve"> tj. o 1 119 Kč více než ve stejném období předchozího roku</w:t>
      </w:r>
      <w:r w:rsidRPr="00067E16">
        <w:rPr>
          <w:rFonts w:cs="Arial"/>
          <w:bCs/>
          <w:szCs w:val="24"/>
        </w:rPr>
        <w:t xml:space="preserve">. Dynamika mezd nabyla na intenzitě a měla vzestupný trend. Jednalo se o </w:t>
      </w:r>
      <w:r w:rsidRPr="00067E16">
        <w:rPr>
          <w:rFonts w:cs="Arial"/>
          <w:b/>
          <w:bCs/>
          <w:szCs w:val="24"/>
        </w:rPr>
        <w:t>největší zvýšení průměrné mzdy od roku 2009.</w:t>
      </w:r>
      <w:r w:rsidRPr="00067E16">
        <w:rPr>
          <w:rFonts w:cs="Arial"/>
          <w:bCs/>
          <w:szCs w:val="24"/>
        </w:rPr>
        <w:t xml:space="preserve"> Mzdový vývoj v sobě odrazil zvýšenou poptávku po pracovní síle, předchozí příznivý vývoj hospodářství doprovázený nárůstem zaměstnanosti a poklesem nezaměstnanosti. </w:t>
      </w:r>
      <w:r w:rsidRPr="00067E16">
        <w:rPr>
          <w:rFonts w:cs="Arial"/>
          <w:b/>
          <w:bCs/>
          <w:szCs w:val="24"/>
        </w:rPr>
        <w:t>Po zohlednění vlivu nárůstu spotřebitelských cen</w:t>
      </w:r>
      <w:r w:rsidRPr="00067E16">
        <w:rPr>
          <w:rFonts w:cs="Arial"/>
          <w:bCs/>
          <w:szCs w:val="24"/>
        </w:rPr>
        <w:t xml:space="preserve"> (ve sledovaném období o 0,5 %) meziročně </w:t>
      </w:r>
      <w:r w:rsidRPr="00067E16">
        <w:rPr>
          <w:rFonts w:cs="Arial"/>
          <w:b/>
          <w:bCs/>
          <w:szCs w:val="24"/>
        </w:rPr>
        <w:t>vzrostla průměrná reálná mzda</w:t>
      </w:r>
      <w:r w:rsidRPr="00067E16">
        <w:rPr>
          <w:rFonts w:cs="Arial"/>
          <w:bCs/>
          <w:szCs w:val="24"/>
        </w:rPr>
        <w:t xml:space="preserve"> </w:t>
      </w:r>
      <w:r w:rsidRPr="00067E16">
        <w:rPr>
          <w:rFonts w:cs="Arial"/>
          <w:b/>
          <w:bCs/>
          <w:szCs w:val="24"/>
        </w:rPr>
        <w:t>o 3,9 %.</w:t>
      </w:r>
      <w:r w:rsidRPr="00067E16">
        <w:rPr>
          <w:rFonts w:cs="Arial"/>
          <w:bCs/>
          <w:szCs w:val="24"/>
        </w:rPr>
        <w:t xml:space="preserve"> Vlivem přetrvávající nízké míry inflace došlo k rychlejšímu zvyšování kupní síly průměrné mzdy, což se pozitivně projevuje ve spotřebitelské poptávce zaměstnanců a výdajích na konečnou spotřebu.</w:t>
      </w:r>
    </w:p>
    <w:p w:rsidR="00F92245" w:rsidRPr="00067E16" w:rsidRDefault="00F92245" w:rsidP="00F92245">
      <w:pPr>
        <w:spacing w:line="360" w:lineRule="auto"/>
        <w:jc w:val="both"/>
        <w:rPr>
          <w:rFonts w:cs="Arial"/>
          <w:bCs/>
          <w:szCs w:val="24"/>
        </w:rPr>
      </w:pPr>
    </w:p>
    <w:p w:rsidR="00F92245" w:rsidRPr="00067E16" w:rsidRDefault="00F92245" w:rsidP="00F92245">
      <w:pPr>
        <w:spacing w:line="360" w:lineRule="auto"/>
        <w:jc w:val="both"/>
        <w:rPr>
          <w:rFonts w:cs="Arial"/>
          <w:bCs/>
          <w:szCs w:val="24"/>
        </w:rPr>
      </w:pPr>
      <w:r w:rsidRPr="00067E16">
        <w:rPr>
          <w:rFonts w:cs="Arial"/>
          <w:bCs/>
          <w:szCs w:val="24"/>
        </w:rPr>
        <w:tab/>
      </w:r>
      <w:r w:rsidRPr="00067E16">
        <w:rPr>
          <w:rFonts w:cs="Arial"/>
          <w:b/>
          <w:bCs/>
          <w:szCs w:val="24"/>
        </w:rPr>
        <w:t>V podnikatelské sféře se zvýšila průměrná mzda</w:t>
      </w:r>
      <w:r w:rsidRPr="00067E16">
        <w:rPr>
          <w:rFonts w:cs="Arial"/>
          <w:bCs/>
          <w:szCs w:val="24"/>
        </w:rPr>
        <w:t xml:space="preserve"> více než v národním hospodářství a nepodnikatelské sféře,</w:t>
      </w:r>
      <w:r w:rsidRPr="00067E16">
        <w:rPr>
          <w:rFonts w:cs="Arial"/>
          <w:b/>
          <w:bCs/>
          <w:szCs w:val="24"/>
        </w:rPr>
        <w:t xml:space="preserve"> a to nominálně o 4,5 %, reálně o 4,0 % a dosáhla tak úrovně 26 609 Kč. V nepodnikatelské sféře </w:t>
      </w:r>
      <w:r w:rsidRPr="00067E16">
        <w:rPr>
          <w:rFonts w:cs="Arial"/>
          <w:bCs/>
          <w:szCs w:val="24"/>
        </w:rPr>
        <w:t xml:space="preserve">byl zaznamenán </w:t>
      </w:r>
      <w:r w:rsidRPr="00067E16">
        <w:rPr>
          <w:rFonts w:cs="Arial"/>
          <w:b/>
          <w:bCs/>
          <w:szCs w:val="24"/>
        </w:rPr>
        <w:t xml:space="preserve">nárůst průměrného platu nominálně o 4,1 %, reálně o 3,6 % a činil 25 891 Kč                </w:t>
      </w:r>
      <w:r w:rsidRPr="00067E16">
        <w:rPr>
          <w:rFonts w:cs="Arial"/>
          <w:bCs/>
          <w:szCs w:val="24"/>
        </w:rPr>
        <w:t xml:space="preserve"> – viz tabulku č. 2 v příloze. Průměrná mzda v podnikatelské sféře svojí úrovní převýšila plat ve veřejných službách a správě o 718 Kč. Relace této průměrné mzdy k průměrnému platu činila ve sledovaném období 102,8 % (ve stejném období předchozího roku 102,4 %).</w:t>
      </w:r>
    </w:p>
    <w:p w:rsidR="00F92245" w:rsidRPr="00067E16" w:rsidRDefault="00F92245" w:rsidP="00F92245">
      <w:pPr>
        <w:spacing w:line="360" w:lineRule="auto"/>
        <w:jc w:val="both"/>
        <w:rPr>
          <w:rFonts w:cs="Arial"/>
          <w:bCs/>
          <w:szCs w:val="24"/>
        </w:rPr>
      </w:pPr>
    </w:p>
    <w:p w:rsidR="00F92245" w:rsidRPr="00067E16" w:rsidRDefault="00F92245" w:rsidP="00F92245">
      <w:pPr>
        <w:spacing w:line="360" w:lineRule="auto"/>
        <w:jc w:val="both"/>
        <w:rPr>
          <w:rFonts w:cs="Arial"/>
          <w:bCs/>
          <w:szCs w:val="24"/>
        </w:rPr>
      </w:pPr>
      <w:r w:rsidRPr="00067E16">
        <w:rPr>
          <w:rFonts w:cs="Arial"/>
          <w:bCs/>
          <w:szCs w:val="24"/>
        </w:rPr>
        <w:tab/>
      </w:r>
      <w:r w:rsidRPr="00067E16">
        <w:rPr>
          <w:rFonts w:cs="Arial"/>
          <w:b/>
          <w:bCs/>
          <w:szCs w:val="24"/>
        </w:rPr>
        <w:t>Medián mezd</w:t>
      </w:r>
      <w:r w:rsidRPr="00067E16">
        <w:rPr>
          <w:rFonts w:cs="Arial"/>
          <w:bCs/>
          <w:szCs w:val="24"/>
        </w:rPr>
        <w:t xml:space="preserve"> (prostřední hodnota mzdového rozdělení), který je odvozen ze statisticko-matematického modelu vycházejícího z výběrového šetření Informačního systému o průměrném výdělku, </w:t>
      </w:r>
      <w:r w:rsidRPr="00067E16">
        <w:rPr>
          <w:rFonts w:cs="Arial"/>
          <w:b/>
          <w:bCs/>
          <w:szCs w:val="24"/>
        </w:rPr>
        <w:t>dosáhl v 1. čtvrtletí letošního roku</w:t>
      </w:r>
      <w:r w:rsidRPr="00067E16">
        <w:rPr>
          <w:rFonts w:cs="Arial"/>
          <w:bCs/>
          <w:szCs w:val="24"/>
        </w:rPr>
        <w:t xml:space="preserve"> </w:t>
      </w:r>
      <w:r w:rsidRPr="00067E16">
        <w:rPr>
          <w:rFonts w:cs="Arial"/>
          <w:b/>
          <w:bCs/>
          <w:szCs w:val="24"/>
        </w:rPr>
        <w:t xml:space="preserve">úrovně </w:t>
      </w:r>
      <w:r w:rsidRPr="00067E16">
        <w:rPr>
          <w:rFonts w:cs="Arial"/>
          <w:b/>
          <w:bCs/>
          <w:szCs w:val="24"/>
        </w:rPr>
        <w:lastRenderedPageBreak/>
        <w:t>22 533 Kč a vzrostl proti stejnému období předchozího roku nominálně o 6,5 %</w:t>
      </w:r>
      <w:r w:rsidRPr="00067E16">
        <w:rPr>
          <w:rFonts w:cs="Arial"/>
          <w:bCs/>
          <w:szCs w:val="24"/>
        </w:rPr>
        <w:t xml:space="preserve"> (tj. o 1 379 Kč). Nárůst mediánu byl vyšší než u průměrné mzdy, což bylo zapříčiněno rychlejším růstem nízkých mezd a podprůměrným zvýšením vysokých mezd. </w:t>
      </w:r>
      <w:r w:rsidRPr="00067E16">
        <w:rPr>
          <w:rFonts w:cs="Arial"/>
          <w:b/>
          <w:bCs/>
          <w:szCs w:val="24"/>
        </w:rPr>
        <w:t>Medián mezd byl</w:t>
      </w:r>
      <w:r w:rsidRPr="00067E16">
        <w:rPr>
          <w:rFonts w:cs="Arial"/>
          <w:bCs/>
          <w:szCs w:val="24"/>
        </w:rPr>
        <w:t xml:space="preserve"> ve sledovaném období </w:t>
      </w:r>
      <w:r w:rsidRPr="00067E16">
        <w:rPr>
          <w:rFonts w:cs="Arial"/>
          <w:b/>
          <w:bCs/>
          <w:szCs w:val="24"/>
        </w:rPr>
        <w:t>nižší o 3 947 Kč než průměrná mzda.</w:t>
      </w:r>
      <w:r w:rsidRPr="00067E16">
        <w:rPr>
          <w:rFonts w:cs="Arial"/>
          <w:bCs/>
          <w:szCs w:val="24"/>
        </w:rPr>
        <w:t xml:space="preserve"> Medián mezd žen činil 20 165 Kč, medián mezd mužů 24 570 Kč. </w:t>
      </w:r>
    </w:p>
    <w:p w:rsidR="00F92245" w:rsidRPr="00067E16" w:rsidRDefault="00F92245" w:rsidP="00F92245">
      <w:pPr>
        <w:spacing w:line="360" w:lineRule="auto"/>
        <w:jc w:val="both"/>
        <w:rPr>
          <w:rFonts w:cs="Arial"/>
          <w:bCs/>
          <w:szCs w:val="24"/>
        </w:rPr>
      </w:pPr>
    </w:p>
    <w:p w:rsidR="00F92245" w:rsidRPr="00067E16" w:rsidRDefault="00F92245" w:rsidP="00F92245">
      <w:pPr>
        <w:ind w:left="708"/>
        <w:jc w:val="both"/>
        <w:rPr>
          <w:rFonts w:cs="Arial"/>
          <w:bCs/>
        </w:rPr>
      </w:pPr>
      <w:r w:rsidRPr="00067E16">
        <w:rPr>
          <w:rFonts w:cs="Arial"/>
        </w:rPr>
        <w:t>Informační systém o průměrném výdělku, který na základě výběrového šetření doplňuje mzdové statistiky ČSÚ, poskytuje řadu detailnějších statistik o mzdách (platech) zaměstnanců. Největší rozdíl mezi průměrnou mzdou a mediánem byl zaznamenán ve mzdové sféře v odvětví „peněžnictví a pojišťovnictví“ – 15 803 Kč, což svědčí o výrazných rozdílech ve mzdách jednotlivých zaměstnanců tohoto odvětví. Opačná situace, tedy velmi malá diferenciace platů, byla pozorována u odvětví „vzdělávání“ platové sféry, ve které byl medián platu o 572 Kč vyšší než průměrný plat a činil 23 833 Kč. To bylo dáno zaměstnaneckou strukturou v tomto odvětví, kde většinu tvoří kvalifikovaní vysokoškolsky vzdělaní zaměstnanci, kteří měli plat vyšší než zbývající část zaměstnanců.</w:t>
      </w:r>
    </w:p>
    <w:p w:rsidR="00F92245" w:rsidRPr="00067E16" w:rsidRDefault="00F92245" w:rsidP="00F92245">
      <w:pPr>
        <w:spacing w:line="360" w:lineRule="auto"/>
        <w:jc w:val="both"/>
        <w:rPr>
          <w:rFonts w:cs="Arial"/>
          <w:b/>
          <w:szCs w:val="24"/>
        </w:rPr>
      </w:pPr>
    </w:p>
    <w:p w:rsidR="00F92245" w:rsidRPr="00067E16" w:rsidRDefault="00F92245" w:rsidP="00F92245">
      <w:pPr>
        <w:spacing w:line="360" w:lineRule="auto"/>
        <w:jc w:val="both"/>
        <w:rPr>
          <w:rFonts w:cs="Arial"/>
          <w:b/>
          <w:szCs w:val="24"/>
        </w:rPr>
      </w:pPr>
    </w:p>
    <w:p w:rsidR="00F92245" w:rsidRPr="00067E16" w:rsidRDefault="00F92245" w:rsidP="00F92245">
      <w:pPr>
        <w:spacing w:line="360" w:lineRule="auto"/>
        <w:jc w:val="both"/>
        <w:rPr>
          <w:rFonts w:cs="Arial"/>
          <w:szCs w:val="24"/>
        </w:rPr>
      </w:pPr>
      <w:r w:rsidRPr="00067E16">
        <w:rPr>
          <w:rFonts w:cs="Arial"/>
        </w:rPr>
        <w:tab/>
      </w:r>
      <w:r w:rsidRPr="00067E16">
        <w:rPr>
          <w:rFonts w:cs="Arial"/>
          <w:b/>
          <w:bCs/>
          <w:szCs w:val="24"/>
        </w:rPr>
        <w:t>Výše průměrné</w:t>
      </w:r>
      <w:r w:rsidRPr="00067E16">
        <w:rPr>
          <w:rFonts w:cs="Arial"/>
          <w:bCs/>
          <w:szCs w:val="24"/>
        </w:rPr>
        <w:t xml:space="preserve"> </w:t>
      </w:r>
      <w:r w:rsidRPr="00067E16">
        <w:rPr>
          <w:rFonts w:cs="Arial"/>
          <w:szCs w:val="24"/>
        </w:rPr>
        <w:t>měsíční</w:t>
      </w:r>
      <w:r w:rsidRPr="00067E16">
        <w:rPr>
          <w:rFonts w:cs="Arial"/>
          <w:bCs/>
          <w:szCs w:val="24"/>
        </w:rPr>
        <w:t xml:space="preserve"> </w:t>
      </w:r>
      <w:r w:rsidRPr="00067E16">
        <w:rPr>
          <w:rFonts w:cs="Arial"/>
          <w:b/>
          <w:bCs/>
          <w:szCs w:val="24"/>
        </w:rPr>
        <w:t>mzdy zaměstnanců pracujících v malých firmách</w:t>
      </w:r>
      <w:r w:rsidR="00120A88">
        <w:rPr>
          <w:rFonts w:cs="Arial"/>
          <w:b/>
          <w:bCs/>
          <w:szCs w:val="24"/>
        </w:rPr>
        <w:t>  </w:t>
      </w:r>
      <w:r w:rsidRPr="00067E16">
        <w:rPr>
          <w:rFonts w:cs="Arial"/>
          <w:szCs w:val="24"/>
        </w:rPr>
        <w:t xml:space="preserve">(subjekty s méně než 20 zaměstnanci) </w:t>
      </w:r>
      <w:r w:rsidRPr="00067E16">
        <w:rPr>
          <w:rFonts w:cs="Arial"/>
          <w:bCs/>
          <w:szCs w:val="24"/>
        </w:rPr>
        <w:t>činila</w:t>
      </w:r>
      <w:r w:rsidRPr="00067E16">
        <w:rPr>
          <w:rFonts w:cs="Arial"/>
          <w:szCs w:val="24"/>
        </w:rPr>
        <w:t xml:space="preserve"> </w:t>
      </w:r>
      <w:r w:rsidRPr="00067E16">
        <w:rPr>
          <w:rFonts w:cs="Arial"/>
          <w:b/>
          <w:bCs/>
          <w:szCs w:val="24"/>
        </w:rPr>
        <w:t>19 495 Kč,</w:t>
      </w:r>
      <w:r w:rsidRPr="00067E16">
        <w:rPr>
          <w:rFonts w:cs="Arial"/>
          <w:bCs/>
          <w:szCs w:val="24"/>
        </w:rPr>
        <w:t xml:space="preserve"> tj.</w:t>
      </w:r>
      <w:r w:rsidRPr="00067E16">
        <w:rPr>
          <w:rFonts w:cs="Arial"/>
          <w:b/>
          <w:bCs/>
          <w:szCs w:val="24"/>
        </w:rPr>
        <w:t> 73,6 %</w:t>
      </w:r>
      <w:r w:rsidRPr="00067E16">
        <w:rPr>
          <w:rFonts w:cs="Arial"/>
          <w:bCs/>
          <w:szCs w:val="24"/>
        </w:rPr>
        <w:t xml:space="preserve"> celospolečenského </w:t>
      </w:r>
      <w:r w:rsidRPr="00067E16">
        <w:rPr>
          <w:rFonts w:cs="Arial"/>
          <w:b/>
          <w:bCs/>
          <w:szCs w:val="24"/>
        </w:rPr>
        <w:t>výdělkového průměru;</w:t>
      </w:r>
      <w:r w:rsidRPr="00067E16">
        <w:rPr>
          <w:rFonts w:cs="Arial"/>
          <w:bCs/>
          <w:szCs w:val="24"/>
        </w:rPr>
        <w:t xml:space="preserve"> v porovnání se stejným obdobím roku 2015 došlo k nárůstu tohoto podílu o 0,6 p. b. </w:t>
      </w:r>
      <w:r w:rsidRPr="00067E16">
        <w:rPr>
          <w:rFonts w:cs="Arial"/>
          <w:szCs w:val="24"/>
        </w:rPr>
        <w:t>– viz tabulku č. 3 v příloze.</w:t>
      </w:r>
    </w:p>
    <w:p w:rsidR="00F92245" w:rsidRPr="00067E16" w:rsidRDefault="00F92245" w:rsidP="00F92245">
      <w:pPr>
        <w:spacing w:line="360" w:lineRule="auto"/>
        <w:jc w:val="both"/>
        <w:rPr>
          <w:rFonts w:cs="Arial"/>
          <w:szCs w:val="24"/>
        </w:rPr>
      </w:pPr>
    </w:p>
    <w:p w:rsidR="00F92245" w:rsidRPr="00067E16" w:rsidRDefault="00F92245" w:rsidP="003948AB">
      <w:pPr>
        <w:spacing w:after="240" w:line="360" w:lineRule="auto"/>
        <w:jc w:val="both"/>
        <w:rPr>
          <w:rFonts w:cs="Arial"/>
          <w:szCs w:val="24"/>
        </w:rPr>
      </w:pPr>
      <w:r w:rsidRPr="00067E16">
        <w:rPr>
          <w:rFonts w:cs="Arial"/>
          <w:szCs w:val="24"/>
        </w:rPr>
        <w:tab/>
        <w:t>Vývoj mezd v 1. čtvrtletí letošního roku charakterizovaly zejména následující skutečnosti:</w:t>
      </w:r>
    </w:p>
    <w:p w:rsidR="00F92245" w:rsidRPr="00067E16" w:rsidRDefault="00F92245" w:rsidP="00F92245">
      <w:pPr>
        <w:numPr>
          <w:ilvl w:val="0"/>
          <w:numId w:val="33"/>
        </w:numPr>
        <w:spacing w:after="120" w:line="360" w:lineRule="auto"/>
        <w:jc w:val="both"/>
        <w:rPr>
          <w:rFonts w:cs="Arial"/>
          <w:bCs/>
          <w:szCs w:val="24"/>
        </w:rPr>
      </w:pPr>
      <w:r w:rsidRPr="00067E16">
        <w:rPr>
          <w:rFonts w:cs="Arial"/>
          <w:bCs/>
          <w:szCs w:val="24"/>
        </w:rPr>
        <w:t xml:space="preserve">značné </w:t>
      </w:r>
      <w:r w:rsidRPr="00067E16">
        <w:rPr>
          <w:rFonts w:cs="Arial"/>
          <w:b/>
          <w:bCs/>
          <w:szCs w:val="24"/>
        </w:rPr>
        <w:t xml:space="preserve">zrychlení dynamiky růstu </w:t>
      </w:r>
      <w:r w:rsidRPr="00067E16">
        <w:rPr>
          <w:rFonts w:cs="Arial"/>
          <w:bCs/>
          <w:szCs w:val="24"/>
        </w:rPr>
        <w:t xml:space="preserve">meziroční </w:t>
      </w:r>
      <w:r w:rsidRPr="00067E16">
        <w:rPr>
          <w:rFonts w:cs="Arial"/>
          <w:b/>
          <w:bCs/>
          <w:szCs w:val="24"/>
        </w:rPr>
        <w:t>průměrné nominální mzdy</w:t>
      </w:r>
      <w:r w:rsidRPr="00067E16">
        <w:rPr>
          <w:rFonts w:cs="Arial"/>
          <w:bCs/>
          <w:szCs w:val="24"/>
        </w:rPr>
        <w:t xml:space="preserve"> v národním hospodářství,</w:t>
      </w:r>
    </w:p>
    <w:p w:rsidR="00F92245" w:rsidRPr="00067E16" w:rsidRDefault="00F92245" w:rsidP="00F92245">
      <w:pPr>
        <w:numPr>
          <w:ilvl w:val="0"/>
          <w:numId w:val="33"/>
        </w:numPr>
        <w:spacing w:after="120" w:line="360" w:lineRule="auto"/>
        <w:jc w:val="both"/>
        <w:rPr>
          <w:rFonts w:cs="Arial"/>
          <w:bCs/>
          <w:szCs w:val="24"/>
        </w:rPr>
      </w:pPr>
      <w:r w:rsidRPr="00067E16">
        <w:rPr>
          <w:rFonts w:cs="Arial"/>
          <w:szCs w:val="24"/>
        </w:rPr>
        <w:t>vyšší růst průměrné mzdy v podnikatelské sféře proti průměrnému platu ve sféře  nepodnikatelské</w:t>
      </w:r>
      <w:r w:rsidRPr="00067E16">
        <w:rPr>
          <w:rFonts w:cs="Arial"/>
          <w:bCs/>
          <w:szCs w:val="24"/>
        </w:rPr>
        <w:t xml:space="preserve">, </w:t>
      </w:r>
    </w:p>
    <w:p w:rsidR="00F92245" w:rsidRPr="00067E16" w:rsidRDefault="00F92245" w:rsidP="00F92245">
      <w:pPr>
        <w:numPr>
          <w:ilvl w:val="0"/>
          <w:numId w:val="33"/>
        </w:numPr>
        <w:spacing w:after="120" w:line="360" w:lineRule="auto"/>
        <w:jc w:val="both"/>
        <w:rPr>
          <w:rFonts w:cs="Arial"/>
          <w:bCs/>
          <w:szCs w:val="24"/>
        </w:rPr>
      </w:pPr>
      <w:r w:rsidRPr="00067E16">
        <w:rPr>
          <w:rFonts w:cs="Arial"/>
          <w:bCs/>
          <w:szCs w:val="24"/>
        </w:rPr>
        <w:t xml:space="preserve">významný </w:t>
      </w:r>
      <w:r w:rsidRPr="00067E16">
        <w:rPr>
          <w:rFonts w:cs="Arial"/>
          <w:b/>
          <w:bCs/>
          <w:szCs w:val="24"/>
        </w:rPr>
        <w:t>nárůst kupní síly výdělků zaměstnanců</w:t>
      </w:r>
      <w:r w:rsidRPr="00067E16">
        <w:rPr>
          <w:rFonts w:cs="Arial"/>
          <w:bCs/>
          <w:szCs w:val="24"/>
        </w:rPr>
        <w:t xml:space="preserve">, jak </w:t>
      </w:r>
      <w:r w:rsidRPr="00067E16">
        <w:rPr>
          <w:rFonts w:cs="Arial"/>
          <w:b/>
          <w:bCs/>
          <w:szCs w:val="24"/>
        </w:rPr>
        <w:t xml:space="preserve">v podnikatelské sféře, </w:t>
      </w:r>
      <w:r w:rsidRPr="00067E16">
        <w:rPr>
          <w:rFonts w:cs="Arial"/>
          <w:bCs/>
          <w:szCs w:val="24"/>
        </w:rPr>
        <w:t>tak i </w:t>
      </w:r>
      <w:r w:rsidRPr="00067E16">
        <w:rPr>
          <w:rFonts w:cs="Arial"/>
          <w:b/>
          <w:bCs/>
          <w:szCs w:val="24"/>
        </w:rPr>
        <w:t>v nepodnikatelské sféře,</w:t>
      </w:r>
    </w:p>
    <w:p w:rsidR="00F92245" w:rsidRPr="00067E16" w:rsidRDefault="00F92245" w:rsidP="00F92245">
      <w:pPr>
        <w:numPr>
          <w:ilvl w:val="0"/>
          <w:numId w:val="33"/>
        </w:numPr>
        <w:spacing w:after="120" w:line="360" w:lineRule="auto"/>
        <w:jc w:val="both"/>
        <w:rPr>
          <w:rFonts w:cs="Arial"/>
          <w:bCs/>
          <w:szCs w:val="24"/>
        </w:rPr>
      </w:pPr>
      <w:r w:rsidRPr="00067E16">
        <w:rPr>
          <w:rFonts w:cs="Arial"/>
          <w:bCs/>
          <w:szCs w:val="24"/>
        </w:rPr>
        <w:t xml:space="preserve">vyšší </w:t>
      </w:r>
      <w:r w:rsidRPr="00067E16">
        <w:rPr>
          <w:rFonts w:cs="Arial"/>
          <w:b/>
          <w:bCs/>
          <w:szCs w:val="24"/>
        </w:rPr>
        <w:t xml:space="preserve">dynamika růstu mezd </w:t>
      </w:r>
      <w:r w:rsidRPr="00067E16">
        <w:rPr>
          <w:rFonts w:cs="Arial"/>
          <w:bCs/>
          <w:szCs w:val="24"/>
        </w:rPr>
        <w:t>oproti</w:t>
      </w:r>
      <w:r w:rsidRPr="00067E16">
        <w:rPr>
          <w:rFonts w:cs="Arial"/>
          <w:b/>
          <w:bCs/>
          <w:szCs w:val="24"/>
        </w:rPr>
        <w:t xml:space="preserve"> nárůstu produktivity práce,</w:t>
      </w:r>
    </w:p>
    <w:p w:rsidR="00F92245" w:rsidRPr="00067E16" w:rsidRDefault="00F92245" w:rsidP="00F92245">
      <w:pPr>
        <w:numPr>
          <w:ilvl w:val="0"/>
          <w:numId w:val="33"/>
        </w:numPr>
        <w:spacing w:after="120" w:line="360" w:lineRule="auto"/>
        <w:jc w:val="both"/>
        <w:rPr>
          <w:rFonts w:cs="Arial"/>
          <w:bCs/>
          <w:szCs w:val="24"/>
        </w:rPr>
      </w:pPr>
      <w:r w:rsidRPr="00067E16">
        <w:rPr>
          <w:rFonts w:cs="Arial"/>
          <w:b/>
          <w:bCs/>
          <w:szCs w:val="24"/>
        </w:rPr>
        <w:t>mírné snížení</w:t>
      </w:r>
      <w:r w:rsidRPr="00067E16">
        <w:rPr>
          <w:rFonts w:cs="Arial"/>
          <w:bCs/>
          <w:szCs w:val="24"/>
        </w:rPr>
        <w:t xml:space="preserve"> jak </w:t>
      </w:r>
      <w:r w:rsidRPr="00067E16">
        <w:rPr>
          <w:rFonts w:cs="Arial"/>
          <w:b/>
          <w:bCs/>
          <w:szCs w:val="24"/>
        </w:rPr>
        <w:t>meziodvětvové diferenciace,</w:t>
      </w:r>
      <w:r w:rsidRPr="00067E16">
        <w:rPr>
          <w:rFonts w:cs="Arial"/>
          <w:bCs/>
          <w:szCs w:val="24"/>
        </w:rPr>
        <w:t xml:space="preserve"> tak i </w:t>
      </w:r>
      <w:r w:rsidRPr="00067E16">
        <w:rPr>
          <w:rFonts w:cs="Arial"/>
          <w:b/>
          <w:bCs/>
          <w:szCs w:val="24"/>
        </w:rPr>
        <w:t>územní diferenciace mezd zaměstnanců.</w:t>
      </w:r>
    </w:p>
    <w:p w:rsidR="00F92245" w:rsidRPr="00067E16" w:rsidRDefault="003948AB" w:rsidP="003948AB">
      <w:pPr>
        <w:spacing w:line="360" w:lineRule="auto"/>
        <w:jc w:val="both"/>
        <w:rPr>
          <w:rFonts w:cs="Arial"/>
          <w:szCs w:val="24"/>
        </w:rPr>
      </w:pPr>
      <w:r w:rsidRPr="00067E16">
        <w:rPr>
          <w:rFonts w:cs="Arial"/>
        </w:rPr>
        <w:lastRenderedPageBreak/>
        <w:tab/>
      </w:r>
      <w:r w:rsidR="00F92245" w:rsidRPr="00067E16">
        <w:rPr>
          <w:rFonts w:cs="Arial"/>
          <w:bCs/>
          <w:szCs w:val="24"/>
        </w:rPr>
        <w:t xml:space="preserve">Ve srovnání s 1. čtvrtletím 2015 byl (průměrný) nárůst reálné hodnoty mezd v hodnoceném období vyšší o 2,3 p. b. a </w:t>
      </w:r>
      <w:r w:rsidR="00F92245" w:rsidRPr="00067E16">
        <w:rPr>
          <w:rFonts w:cs="Arial"/>
          <w:b/>
          <w:bCs/>
          <w:szCs w:val="24"/>
        </w:rPr>
        <w:t>došlo tak ke zvýšení intenzity nárůstu reálné hodnoty mezd.</w:t>
      </w:r>
      <w:r w:rsidR="00F92245" w:rsidRPr="00067E16">
        <w:rPr>
          <w:rFonts w:cs="Arial"/>
          <w:bCs/>
          <w:szCs w:val="24"/>
        </w:rPr>
        <w:t xml:space="preserve"> Na posílení kupní síly mezd se podílela stále ještě přetrvávající </w:t>
      </w:r>
      <w:r w:rsidR="00F92245" w:rsidRPr="00067E16">
        <w:rPr>
          <w:rFonts w:cs="Arial"/>
          <w:b/>
          <w:bCs/>
          <w:szCs w:val="24"/>
        </w:rPr>
        <w:t>nízká</w:t>
      </w:r>
      <w:r w:rsidR="00F92245" w:rsidRPr="00067E16">
        <w:rPr>
          <w:rFonts w:cs="Arial"/>
          <w:b/>
          <w:szCs w:val="24"/>
        </w:rPr>
        <w:t xml:space="preserve"> </w:t>
      </w:r>
      <w:r w:rsidR="00F92245" w:rsidRPr="00067E16">
        <w:rPr>
          <w:rFonts w:cs="Arial"/>
          <w:b/>
          <w:bCs/>
          <w:szCs w:val="24"/>
        </w:rPr>
        <w:t>míra</w:t>
      </w:r>
      <w:r w:rsidR="00F92245" w:rsidRPr="00067E16">
        <w:rPr>
          <w:rFonts w:cs="Arial"/>
          <w:b/>
          <w:szCs w:val="24"/>
        </w:rPr>
        <w:t xml:space="preserve"> cenové </w:t>
      </w:r>
      <w:r w:rsidR="00F92245" w:rsidRPr="00067E16">
        <w:rPr>
          <w:rFonts w:cs="Arial"/>
          <w:b/>
          <w:bCs/>
          <w:szCs w:val="24"/>
        </w:rPr>
        <w:t>inflace</w:t>
      </w:r>
      <w:r w:rsidR="00F92245" w:rsidRPr="00067E16">
        <w:rPr>
          <w:rFonts w:cs="Arial"/>
          <w:szCs w:val="24"/>
        </w:rPr>
        <w:t xml:space="preserve"> (o 0,4 p. b. vyšší ve srovnání se stejným obdobím předchozího roku; podrobněji viz část 2 materiálu). </w:t>
      </w:r>
      <w:r w:rsidR="00F92245" w:rsidRPr="00067E16">
        <w:rPr>
          <w:rFonts w:cs="Arial"/>
          <w:b/>
          <w:bCs/>
          <w:szCs w:val="24"/>
        </w:rPr>
        <w:t xml:space="preserve">Nárůst průměrné reálné mzdy </w:t>
      </w:r>
      <w:r w:rsidR="00F92245" w:rsidRPr="00067E16">
        <w:rPr>
          <w:rFonts w:cs="Arial"/>
          <w:bCs/>
          <w:szCs w:val="24"/>
        </w:rPr>
        <w:t>byl</w:t>
      </w:r>
      <w:r w:rsidR="00F92245" w:rsidRPr="00067E16">
        <w:rPr>
          <w:rFonts w:cs="Arial"/>
          <w:b/>
          <w:bCs/>
          <w:szCs w:val="24"/>
        </w:rPr>
        <w:t xml:space="preserve"> </w:t>
      </w:r>
      <w:r w:rsidR="00F92245" w:rsidRPr="00067E16">
        <w:rPr>
          <w:rFonts w:cs="Arial"/>
          <w:bCs/>
          <w:szCs w:val="24"/>
        </w:rPr>
        <w:t>zaznamenán</w:t>
      </w:r>
      <w:r w:rsidR="00F92245" w:rsidRPr="00067E16">
        <w:rPr>
          <w:rFonts w:cs="Arial"/>
          <w:b/>
          <w:bCs/>
          <w:szCs w:val="24"/>
        </w:rPr>
        <w:t xml:space="preserve"> v 18 z 19</w:t>
      </w:r>
      <w:r w:rsidR="00F92245" w:rsidRPr="00067E16">
        <w:rPr>
          <w:rFonts w:cs="Arial"/>
          <w:szCs w:val="24"/>
        </w:rPr>
        <w:t xml:space="preserve"> sledovaných </w:t>
      </w:r>
      <w:r w:rsidR="00F92245" w:rsidRPr="00067E16">
        <w:rPr>
          <w:rFonts w:cs="Arial"/>
          <w:b/>
          <w:bCs/>
          <w:szCs w:val="24"/>
        </w:rPr>
        <w:t>odvětvových agregacích CZ</w:t>
      </w:r>
      <w:r w:rsidR="00F92245" w:rsidRPr="00067E16">
        <w:rPr>
          <w:rFonts w:cs="Arial"/>
          <w:b/>
          <w:bCs/>
          <w:szCs w:val="24"/>
        </w:rPr>
        <w:noBreakHyphen/>
        <w:t>NACE a v regionálním členění ve 13 ze 14 krajů</w:t>
      </w:r>
      <w:r w:rsidR="00F92245" w:rsidRPr="00067E16">
        <w:rPr>
          <w:rFonts w:cs="Arial"/>
          <w:b/>
          <w:szCs w:val="24"/>
        </w:rPr>
        <w:t xml:space="preserve"> </w:t>
      </w:r>
      <w:r w:rsidR="00F92245" w:rsidRPr="00067E16">
        <w:rPr>
          <w:rFonts w:cs="Arial"/>
          <w:szCs w:val="24"/>
        </w:rPr>
        <w:t>(viz dále).</w:t>
      </w:r>
    </w:p>
    <w:p w:rsidR="003948AB" w:rsidRPr="00067E16" w:rsidRDefault="003948AB" w:rsidP="003948AB">
      <w:pPr>
        <w:spacing w:line="360" w:lineRule="auto"/>
        <w:jc w:val="both"/>
        <w:rPr>
          <w:rFonts w:cs="Arial"/>
          <w:szCs w:val="24"/>
        </w:rPr>
      </w:pPr>
    </w:p>
    <w:p w:rsidR="00F92245" w:rsidRPr="00067E16" w:rsidRDefault="003948AB" w:rsidP="003948AB">
      <w:pPr>
        <w:spacing w:line="360" w:lineRule="auto"/>
        <w:jc w:val="both"/>
        <w:rPr>
          <w:rFonts w:cs="Arial"/>
          <w:szCs w:val="24"/>
        </w:rPr>
      </w:pPr>
      <w:r w:rsidRPr="00067E16">
        <w:rPr>
          <w:rFonts w:cs="Arial"/>
          <w:szCs w:val="24"/>
        </w:rPr>
        <w:tab/>
      </w:r>
      <w:r w:rsidR="00F92245" w:rsidRPr="00067E16">
        <w:rPr>
          <w:rFonts w:cs="Arial"/>
          <w:b/>
          <w:szCs w:val="24"/>
        </w:rPr>
        <w:t>Přírůstek kupní síly výdělků byl v hodnoceném období vyšší než vykázaná dynamika produktivity práce.</w:t>
      </w:r>
      <w:r w:rsidR="00F92245" w:rsidRPr="00067E16">
        <w:rPr>
          <w:rFonts w:cs="Arial"/>
          <w:szCs w:val="24"/>
        </w:rPr>
        <w:t xml:space="preserve"> Dynamika úhrnné </w:t>
      </w:r>
      <w:r w:rsidR="00F92245" w:rsidRPr="00067E16">
        <w:rPr>
          <w:rFonts w:cs="Arial"/>
          <w:b/>
          <w:bCs/>
          <w:szCs w:val="24"/>
        </w:rPr>
        <w:t xml:space="preserve">produktivity práce </w:t>
      </w:r>
      <w:r w:rsidR="00F92245" w:rsidRPr="00067E16">
        <w:rPr>
          <w:rFonts w:cs="Arial"/>
          <w:szCs w:val="24"/>
        </w:rPr>
        <w:t>(v pojetí hrubého domácího produktu ve stálých cenách na 1 pracovníka v národním hospodářství)</w:t>
      </w:r>
      <w:r w:rsidR="00F92245" w:rsidRPr="00067E16">
        <w:rPr>
          <w:rFonts w:cs="Arial"/>
          <w:bCs/>
          <w:szCs w:val="24"/>
        </w:rPr>
        <w:t xml:space="preserve"> </w:t>
      </w:r>
      <w:r w:rsidR="00F92245" w:rsidRPr="00067E16">
        <w:rPr>
          <w:rFonts w:cs="Arial"/>
          <w:b/>
          <w:bCs/>
          <w:szCs w:val="24"/>
        </w:rPr>
        <w:t>vzrostla</w:t>
      </w:r>
      <w:r w:rsidR="00F92245" w:rsidRPr="00067E16">
        <w:rPr>
          <w:rFonts w:cs="Arial"/>
          <w:bCs/>
          <w:szCs w:val="24"/>
        </w:rPr>
        <w:t xml:space="preserve"> meziročně </w:t>
      </w:r>
      <w:r w:rsidR="00F92245" w:rsidRPr="00067E16">
        <w:rPr>
          <w:rFonts w:cs="Arial"/>
          <w:b/>
          <w:bCs/>
          <w:szCs w:val="24"/>
        </w:rPr>
        <w:t>o 1,2 %</w:t>
      </w:r>
      <w:r w:rsidR="00F92245" w:rsidRPr="00067E16">
        <w:rPr>
          <w:rFonts w:cs="Arial"/>
          <w:bCs/>
          <w:szCs w:val="24"/>
        </w:rPr>
        <w:t xml:space="preserve"> a byla o 2,7 p. b. nižší</w:t>
      </w:r>
      <w:r w:rsidR="007B2BDE">
        <w:rPr>
          <w:rFonts w:cs="Arial"/>
          <w:bCs/>
          <w:szCs w:val="24"/>
        </w:rPr>
        <w:t>,</w:t>
      </w:r>
      <w:r w:rsidR="00F92245" w:rsidRPr="00067E16">
        <w:rPr>
          <w:rFonts w:cs="Arial"/>
          <w:bCs/>
          <w:szCs w:val="24"/>
        </w:rPr>
        <w:t xml:space="preserve"> než činil nárůst průměrné reálné mzdy –</w:t>
      </w:r>
      <w:r w:rsidR="00F92245" w:rsidRPr="00067E16">
        <w:rPr>
          <w:rFonts w:cs="Arial"/>
          <w:szCs w:val="24"/>
        </w:rPr>
        <w:t xml:space="preserve"> viz graf č. 1 v příloze.</w:t>
      </w:r>
    </w:p>
    <w:p w:rsidR="003948AB" w:rsidRPr="00067E16" w:rsidRDefault="003948AB" w:rsidP="003948AB">
      <w:pPr>
        <w:spacing w:line="360" w:lineRule="auto"/>
        <w:jc w:val="both"/>
        <w:rPr>
          <w:rFonts w:cs="Arial"/>
          <w:szCs w:val="24"/>
        </w:rPr>
      </w:pPr>
    </w:p>
    <w:p w:rsidR="00F92245" w:rsidRPr="00067E16" w:rsidRDefault="003948AB" w:rsidP="003948AB">
      <w:pPr>
        <w:spacing w:line="360" w:lineRule="auto"/>
        <w:jc w:val="both"/>
        <w:rPr>
          <w:rFonts w:cs="Arial"/>
          <w:b/>
          <w:bCs/>
        </w:rPr>
      </w:pPr>
      <w:r w:rsidRPr="00067E16">
        <w:rPr>
          <w:rFonts w:cs="Arial"/>
          <w:szCs w:val="24"/>
        </w:rPr>
        <w:tab/>
      </w:r>
      <w:r w:rsidR="00F92245" w:rsidRPr="00067E16">
        <w:rPr>
          <w:rFonts w:cs="Arial"/>
          <w:b/>
        </w:rPr>
        <w:t xml:space="preserve">Relace </w:t>
      </w:r>
      <w:r w:rsidR="00F92245" w:rsidRPr="00067E16">
        <w:rPr>
          <w:rFonts w:cs="Arial"/>
        </w:rPr>
        <w:t>produktivity práce a mezd</w:t>
      </w:r>
      <w:r w:rsidR="00F92245" w:rsidRPr="00067E16">
        <w:rPr>
          <w:rFonts w:cs="Arial"/>
          <w:b/>
        </w:rPr>
        <w:t xml:space="preserve"> se promítla do </w:t>
      </w:r>
      <w:r w:rsidR="00F92245" w:rsidRPr="00067E16">
        <w:rPr>
          <w:rFonts w:cs="Arial"/>
          <w:b/>
          <w:bCs/>
        </w:rPr>
        <w:t>vývoje jednotkových mzdových nákladů</w:t>
      </w:r>
      <w:r w:rsidR="00F92245" w:rsidRPr="00067E16">
        <w:rPr>
          <w:rFonts w:cs="Arial"/>
        </w:rPr>
        <w:t>,</w:t>
      </w:r>
      <w:r w:rsidR="00F92245" w:rsidRPr="00067E16">
        <w:rPr>
          <w:rFonts w:cs="Arial"/>
          <w:bCs/>
        </w:rPr>
        <w:t xml:space="preserve"> </w:t>
      </w:r>
      <w:r w:rsidR="00F92245" w:rsidRPr="00067E16">
        <w:rPr>
          <w:rFonts w:cs="Arial"/>
        </w:rPr>
        <w:t>které se v meziročním pohledu za leden </w:t>
      </w:r>
      <w:r w:rsidR="00F92245" w:rsidRPr="00067E16">
        <w:rPr>
          <w:rFonts w:cs="Arial"/>
        </w:rPr>
        <w:noBreakHyphen/>
        <w:t xml:space="preserve"> březen </w:t>
      </w:r>
      <w:r w:rsidR="00F92245" w:rsidRPr="00067E16">
        <w:rPr>
          <w:rFonts w:cs="Arial"/>
          <w:b/>
        </w:rPr>
        <w:t xml:space="preserve">zvýšily </w:t>
      </w:r>
      <w:r w:rsidR="00F92245" w:rsidRPr="00067E16">
        <w:rPr>
          <w:rFonts w:cs="Arial"/>
          <w:b/>
          <w:bCs/>
        </w:rPr>
        <w:t xml:space="preserve">nominálně o 3,2 % a reálně o 2,6 %. Nárůst mezd </w:t>
      </w:r>
      <w:r w:rsidR="00F92245" w:rsidRPr="00067E16">
        <w:rPr>
          <w:rFonts w:cs="Arial"/>
          <w:bCs/>
        </w:rPr>
        <w:t xml:space="preserve">však </w:t>
      </w:r>
      <w:r w:rsidR="00F92245" w:rsidRPr="00067E16">
        <w:rPr>
          <w:rFonts w:cs="Arial"/>
          <w:b/>
          <w:bCs/>
        </w:rPr>
        <w:t>nepředstavoval</w:t>
      </w:r>
      <w:r w:rsidR="00F92245" w:rsidRPr="00067E16">
        <w:rPr>
          <w:rFonts w:cs="Arial"/>
          <w:b/>
        </w:rPr>
        <w:t xml:space="preserve"> </w:t>
      </w:r>
      <w:r w:rsidR="00F92245" w:rsidRPr="00067E16">
        <w:rPr>
          <w:rFonts w:cs="Arial"/>
          <w:b/>
          <w:bCs/>
        </w:rPr>
        <w:t>riziko</w:t>
      </w:r>
      <w:r w:rsidR="00F92245" w:rsidRPr="00067E16">
        <w:rPr>
          <w:rFonts w:cs="Arial"/>
          <w:b/>
        </w:rPr>
        <w:t xml:space="preserve"> </w:t>
      </w:r>
      <w:r w:rsidR="00F92245" w:rsidRPr="00067E16">
        <w:rPr>
          <w:rFonts w:cs="Arial"/>
          <w:bCs/>
        </w:rPr>
        <w:t>z pohledu</w:t>
      </w:r>
      <w:r w:rsidR="00F92245" w:rsidRPr="00067E16">
        <w:rPr>
          <w:rFonts w:cs="Arial"/>
          <w:b/>
          <w:bCs/>
        </w:rPr>
        <w:t xml:space="preserve"> udržení</w:t>
      </w:r>
      <w:r w:rsidR="00F92245" w:rsidRPr="00067E16">
        <w:rPr>
          <w:rFonts w:cs="Arial"/>
          <w:b/>
        </w:rPr>
        <w:t xml:space="preserve"> </w:t>
      </w:r>
      <w:r w:rsidR="00F92245" w:rsidRPr="00067E16">
        <w:rPr>
          <w:rFonts w:cs="Arial"/>
          <w:b/>
          <w:bCs/>
        </w:rPr>
        <w:t>konkurenceschopnosti tuzemské produkce.</w:t>
      </w:r>
    </w:p>
    <w:p w:rsidR="003948AB" w:rsidRPr="00067E16" w:rsidRDefault="003948AB" w:rsidP="003948AB">
      <w:pPr>
        <w:spacing w:line="360" w:lineRule="auto"/>
        <w:jc w:val="both"/>
        <w:rPr>
          <w:rFonts w:cs="Arial"/>
          <w:b/>
          <w:bCs/>
        </w:rPr>
      </w:pPr>
    </w:p>
    <w:p w:rsidR="00F92245" w:rsidRPr="00067E16" w:rsidRDefault="003948AB" w:rsidP="003948AB">
      <w:pPr>
        <w:spacing w:line="360" w:lineRule="auto"/>
        <w:jc w:val="both"/>
        <w:rPr>
          <w:rFonts w:cs="Arial"/>
          <w:b/>
        </w:rPr>
      </w:pPr>
      <w:r w:rsidRPr="00067E16">
        <w:rPr>
          <w:rFonts w:cs="Arial"/>
          <w:b/>
          <w:bCs/>
        </w:rPr>
        <w:tab/>
      </w:r>
      <w:r w:rsidR="00F92245" w:rsidRPr="00067E16">
        <w:rPr>
          <w:rFonts w:cs="Arial"/>
          <w:b/>
          <w:bCs/>
        </w:rPr>
        <w:t xml:space="preserve">Reálná hodnota objemu mzdových prostředků </w:t>
      </w:r>
      <w:r w:rsidR="00F92245" w:rsidRPr="00067E16">
        <w:rPr>
          <w:rFonts w:cs="Arial"/>
        </w:rPr>
        <w:t>zúčtovaných k výplatě</w:t>
      </w:r>
      <w:r w:rsidR="00F92245" w:rsidRPr="00067E16">
        <w:rPr>
          <w:rFonts w:cs="Arial"/>
          <w:b/>
        </w:rPr>
        <w:t xml:space="preserve"> </w:t>
      </w:r>
      <w:r w:rsidR="00F92245" w:rsidRPr="00067E16">
        <w:rPr>
          <w:rFonts w:cs="Arial"/>
          <w:b/>
          <w:bCs/>
        </w:rPr>
        <w:t xml:space="preserve">vzrostla </w:t>
      </w:r>
      <w:r w:rsidR="00F92245" w:rsidRPr="00067E16">
        <w:rPr>
          <w:rFonts w:cs="Arial"/>
        </w:rPr>
        <w:t>oproti 1. čtvrtletí 2015</w:t>
      </w:r>
      <w:r w:rsidR="00F92245" w:rsidRPr="00067E16">
        <w:rPr>
          <w:rFonts w:cs="Arial"/>
          <w:b/>
          <w:bCs/>
        </w:rPr>
        <w:t xml:space="preserve"> o 6,1 %, mzdová náročnost HDP</w:t>
      </w:r>
      <w:r w:rsidR="00F92245" w:rsidRPr="00067E16">
        <w:rPr>
          <w:rFonts w:cs="Arial"/>
          <w:b/>
        </w:rPr>
        <w:t xml:space="preserve"> </w:t>
      </w:r>
      <w:r w:rsidR="00F92245" w:rsidRPr="00067E16">
        <w:rPr>
          <w:rFonts w:cs="Arial"/>
        </w:rPr>
        <w:t xml:space="preserve">(relace objemu mzdových prostředků k objemu hrubého domácího produktu v běžných cenách) </w:t>
      </w:r>
      <w:r w:rsidR="00F92245" w:rsidRPr="00067E16">
        <w:rPr>
          <w:rFonts w:cs="Arial"/>
          <w:b/>
        </w:rPr>
        <w:t>se </w:t>
      </w:r>
      <w:r w:rsidR="00F92245" w:rsidRPr="00067E16">
        <w:rPr>
          <w:rFonts w:cs="Arial"/>
        </w:rPr>
        <w:t xml:space="preserve">ve stejném porovnání </w:t>
      </w:r>
      <w:r w:rsidR="00F92245" w:rsidRPr="00067E16">
        <w:rPr>
          <w:rFonts w:cs="Arial"/>
          <w:b/>
        </w:rPr>
        <w:t>zvýšila</w:t>
      </w:r>
      <w:r w:rsidR="00F92245" w:rsidRPr="00067E16">
        <w:rPr>
          <w:rFonts w:cs="Arial"/>
        </w:rPr>
        <w:t xml:space="preserve"> o 0,6 p. b. </w:t>
      </w:r>
      <w:r w:rsidR="00F92245" w:rsidRPr="00067E16">
        <w:rPr>
          <w:rFonts w:cs="Arial"/>
          <w:b/>
        </w:rPr>
        <w:t>na 26,4 %.</w:t>
      </w:r>
    </w:p>
    <w:p w:rsidR="003948AB" w:rsidRPr="00067E16" w:rsidRDefault="003948AB" w:rsidP="003948AB">
      <w:pPr>
        <w:spacing w:line="360" w:lineRule="auto"/>
        <w:jc w:val="both"/>
        <w:rPr>
          <w:rFonts w:cs="Arial"/>
          <w:b/>
        </w:rPr>
      </w:pPr>
    </w:p>
    <w:p w:rsidR="00F92245" w:rsidRPr="00067E16" w:rsidRDefault="00F92245" w:rsidP="00AD3AB1">
      <w:pPr>
        <w:ind w:left="708"/>
        <w:jc w:val="both"/>
        <w:rPr>
          <w:rFonts w:cs="Arial"/>
          <w:bCs/>
        </w:rPr>
      </w:pPr>
      <w:r w:rsidRPr="00067E16">
        <w:rPr>
          <w:rFonts w:cs="Arial"/>
        </w:rPr>
        <w:t xml:space="preserve">Část mezd, které svým zaměstnancům dlužili insolventní zaměstnavatelé v režimu konkurzního řízení, jim byla vyplacena Úřadem práce </w:t>
      </w:r>
      <w:r w:rsidRPr="00067E16">
        <w:rPr>
          <w:rFonts w:cs="Arial"/>
          <w:b/>
          <w:bCs/>
        </w:rPr>
        <w:t>na základě</w:t>
      </w:r>
      <w:r w:rsidR="00AD3AB1">
        <w:rPr>
          <w:rFonts w:cs="Arial"/>
          <w:b/>
          <w:bCs/>
        </w:rPr>
        <w:t> </w:t>
      </w:r>
      <w:r w:rsidRPr="00067E16">
        <w:rPr>
          <w:rFonts w:cs="Arial"/>
          <w:b/>
          <w:bCs/>
        </w:rPr>
        <w:t>zákona</w:t>
      </w:r>
      <w:r w:rsidR="003948AB" w:rsidRPr="00067E16">
        <w:rPr>
          <w:rFonts w:cs="Arial"/>
          <w:b/>
          <w:bCs/>
        </w:rPr>
        <w:t> </w:t>
      </w:r>
      <w:r w:rsidRPr="00067E16">
        <w:rPr>
          <w:rFonts w:cs="Arial"/>
        </w:rPr>
        <w:t xml:space="preserve">č. 118/2000 Sb., </w:t>
      </w:r>
      <w:r w:rsidRPr="00067E16">
        <w:rPr>
          <w:rFonts w:cs="Arial"/>
          <w:b/>
          <w:bCs/>
        </w:rPr>
        <w:t xml:space="preserve">o ochraně zaměstnanců při platební neschopnosti zaměstnavatele </w:t>
      </w:r>
      <w:r w:rsidRPr="00067E16">
        <w:rPr>
          <w:rFonts w:cs="Arial"/>
        </w:rPr>
        <w:t>a o změně některých zákonů, ve znění pozdějších předpisů.</w:t>
      </w:r>
      <w:r w:rsidRPr="00067E16">
        <w:rPr>
          <w:rFonts w:cs="Arial"/>
          <w:b/>
          <w:bCs/>
        </w:rPr>
        <w:t xml:space="preserve"> </w:t>
      </w:r>
      <w:r w:rsidRPr="00067E16">
        <w:rPr>
          <w:rFonts w:cs="Arial"/>
          <w:bCs/>
        </w:rPr>
        <w:t xml:space="preserve">Celkem bylo takto </w:t>
      </w:r>
      <w:r w:rsidRPr="00067E16">
        <w:rPr>
          <w:rFonts w:cs="Arial"/>
          <w:b/>
        </w:rPr>
        <w:t>k</w:t>
      </w:r>
      <w:r w:rsidR="00AD3AB1">
        <w:rPr>
          <w:rFonts w:cs="Arial"/>
          <w:b/>
        </w:rPr>
        <w:t xml:space="preserve"> </w:t>
      </w:r>
      <w:r w:rsidRPr="00067E16">
        <w:rPr>
          <w:rFonts w:cs="Arial"/>
          <w:b/>
        </w:rPr>
        <w:t xml:space="preserve">31. 3. 2016 poskytnuto 42,3 mil. Kč </w:t>
      </w:r>
      <w:r w:rsidRPr="00067E16">
        <w:rPr>
          <w:rFonts w:cs="Arial"/>
          <w:bCs/>
        </w:rPr>
        <w:t>(o</w:t>
      </w:r>
      <w:r w:rsidR="00AD3AB1">
        <w:rPr>
          <w:rFonts w:cs="Arial"/>
          <w:bCs/>
        </w:rPr>
        <w:t xml:space="preserve"> </w:t>
      </w:r>
      <w:r w:rsidRPr="00067E16">
        <w:rPr>
          <w:rFonts w:cs="Arial"/>
          <w:bCs/>
        </w:rPr>
        <w:t>21,1 mil. Kč méně než k</w:t>
      </w:r>
      <w:r w:rsidR="00AD3AB1">
        <w:rPr>
          <w:rFonts w:cs="Arial"/>
          <w:bCs/>
        </w:rPr>
        <w:t xml:space="preserve"> </w:t>
      </w:r>
      <w:r w:rsidRPr="00067E16">
        <w:rPr>
          <w:rFonts w:cs="Arial"/>
          <w:bCs/>
        </w:rPr>
        <w:t>31. 3. 2015), z</w:t>
      </w:r>
      <w:r w:rsidR="00AD3AB1">
        <w:rPr>
          <w:rFonts w:cs="Arial"/>
          <w:bCs/>
        </w:rPr>
        <w:t xml:space="preserve"> </w:t>
      </w:r>
      <w:r w:rsidRPr="00067E16">
        <w:rPr>
          <w:rFonts w:cs="Arial"/>
          <w:bCs/>
        </w:rPr>
        <w:t>toho nejvíce v hl. m. Praze (10,6 mil. Kč), krajích Středočeském (9,6 mil. Kč), Královéhradeckém (6,2 mil. Kč) a Jihomoravském (3,3 mil. Kč).</w:t>
      </w:r>
    </w:p>
    <w:p w:rsidR="003948AB" w:rsidRPr="00067E16" w:rsidRDefault="003948AB" w:rsidP="003948AB">
      <w:pPr>
        <w:spacing w:line="360" w:lineRule="auto"/>
        <w:jc w:val="both"/>
        <w:rPr>
          <w:rFonts w:cs="Arial"/>
          <w:bCs/>
        </w:rPr>
      </w:pPr>
    </w:p>
    <w:p w:rsidR="003948AB" w:rsidRPr="00067E16" w:rsidRDefault="003948AB" w:rsidP="003948AB">
      <w:pPr>
        <w:spacing w:line="360" w:lineRule="auto"/>
        <w:jc w:val="both"/>
        <w:rPr>
          <w:rFonts w:cs="Arial"/>
          <w:bCs/>
        </w:rPr>
      </w:pPr>
    </w:p>
    <w:p w:rsidR="00AD3AB1" w:rsidRDefault="003948AB" w:rsidP="003948AB">
      <w:pPr>
        <w:spacing w:after="120" w:line="360" w:lineRule="auto"/>
        <w:jc w:val="both"/>
        <w:rPr>
          <w:rFonts w:cs="Arial"/>
          <w:bCs/>
        </w:rPr>
      </w:pPr>
      <w:r w:rsidRPr="00067E16">
        <w:rPr>
          <w:rFonts w:cs="Arial"/>
          <w:bCs/>
        </w:rPr>
        <w:tab/>
      </w:r>
    </w:p>
    <w:p w:rsidR="00AD3AB1" w:rsidRDefault="00AD3AB1">
      <w:pPr>
        <w:rPr>
          <w:rFonts w:cs="Arial"/>
          <w:bCs/>
        </w:rPr>
      </w:pPr>
      <w:r>
        <w:rPr>
          <w:rFonts w:cs="Arial"/>
          <w:bCs/>
        </w:rPr>
        <w:br w:type="page"/>
      </w:r>
    </w:p>
    <w:p w:rsidR="00F92245" w:rsidRPr="00067E16" w:rsidRDefault="00F92245" w:rsidP="00AD3AB1">
      <w:pPr>
        <w:spacing w:after="120" w:line="360" w:lineRule="auto"/>
        <w:ind w:firstLine="708"/>
        <w:jc w:val="both"/>
        <w:rPr>
          <w:rFonts w:cs="Arial"/>
          <w:b/>
        </w:rPr>
      </w:pPr>
      <w:r w:rsidRPr="00067E16">
        <w:rPr>
          <w:rFonts w:cs="Arial"/>
          <w:b/>
        </w:rPr>
        <w:lastRenderedPageBreak/>
        <w:t xml:space="preserve">Na nárůst </w:t>
      </w:r>
      <w:r w:rsidRPr="00067E16">
        <w:rPr>
          <w:rFonts w:cs="Arial"/>
        </w:rPr>
        <w:t>průměrné mzdy</w:t>
      </w:r>
      <w:r w:rsidRPr="00067E16">
        <w:rPr>
          <w:rFonts w:cs="Arial"/>
          <w:b/>
        </w:rPr>
        <w:t xml:space="preserve"> v podnikatelské sféře </w:t>
      </w:r>
      <w:r w:rsidRPr="00067E16">
        <w:rPr>
          <w:rFonts w:cs="Arial"/>
        </w:rPr>
        <w:t xml:space="preserve">působily v 1. čtvrtletí </w:t>
      </w:r>
      <w:r w:rsidRPr="00067E16">
        <w:rPr>
          <w:rFonts w:cs="Arial"/>
          <w:bCs/>
        </w:rPr>
        <w:t>především</w:t>
      </w:r>
      <w:r w:rsidRPr="00067E16">
        <w:rPr>
          <w:rFonts w:cs="Arial"/>
          <w:b/>
        </w:rPr>
        <w:t xml:space="preserve"> tyto </w:t>
      </w:r>
      <w:r w:rsidRPr="00067E16">
        <w:rPr>
          <w:rFonts w:cs="Arial"/>
          <w:bCs/>
        </w:rPr>
        <w:t>základní</w:t>
      </w:r>
      <w:r w:rsidRPr="00067E16">
        <w:rPr>
          <w:rFonts w:cs="Arial"/>
          <w:b/>
        </w:rPr>
        <w:t xml:space="preserve"> faktory:</w:t>
      </w:r>
    </w:p>
    <w:p w:rsidR="00F92245" w:rsidRPr="00067E16" w:rsidRDefault="00F92245" w:rsidP="003948AB">
      <w:pPr>
        <w:pStyle w:val="Odstavecseseznamem"/>
        <w:numPr>
          <w:ilvl w:val="0"/>
          <w:numId w:val="34"/>
        </w:numPr>
        <w:spacing w:after="120" w:line="360" w:lineRule="auto"/>
        <w:ind w:left="1066" w:hanging="357"/>
        <w:jc w:val="both"/>
        <w:rPr>
          <w:rFonts w:cs="Arial"/>
        </w:rPr>
      </w:pPr>
      <w:r w:rsidRPr="00067E16">
        <w:rPr>
          <w:rFonts w:cs="Arial"/>
        </w:rPr>
        <w:t>stále se zvyšující poptávka po pracovní síle, zejména kvalifikované v technických oborech a profesích,</w:t>
      </w:r>
    </w:p>
    <w:p w:rsidR="00F92245" w:rsidRPr="00067E16" w:rsidRDefault="00F92245" w:rsidP="003948AB">
      <w:pPr>
        <w:pStyle w:val="Odstavecseseznamem"/>
        <w:numPr>
          <w:ilvl w:val="0"/>
          <w:numId w:val="34"/>
        </w:numPr>
        <w:spacing w:after="120" w:line="360" w:lineRule="auto"/>
        <w:ind w:left="1066" w:hanging="357"/>
        <w:jc w:val="both"/>
        <w:rPr>
          <w:rFonts w:cs="Arial"/>
        </w:rPr>
      </w:pPr>
      <w:r w:rsidRPr="00067E16">
        <w:rPr>
          <w:rFonts w:cs="Arial"/>
        </w:rPr>
        <w:t>příznivý vývoj ekonomiky, zejména průmyslu (nárůst zakázek, ziskovosti, apod.)</w:t>
      </w:r>
      <w:r w:rsidR="007B2BDE">
        <w:rPr>
          <w:rFonts w:cs="Arial"/>
        </w:rPr>
        <w:t>,</w:t>
      </w:r>
    </w:p>
    <w:p w:rsidR="00F92245" w:rsidRPr="00067E16" w:rsidRDefault="00F92245" w:rsidP="003948AB">
      <w:pPr>
        <w:pStyle w:val="Odstavecseseznamem"/>
        <w:numPr>
          <w:ilvl w:val="0"/>
          <w:numId w:val="34"/>
        </w:numPr>
        <w:spacing w:line="360" w:lineRule="auto"/>
        <w:ind w:left="1066" w:hanging="357"/>
        <w:jc w:val="both"/>
        <w:rPr>
          <w:rFonts w:cs="Arial"/>
        </w:rPr>
      </w:pPr>
      <w:r w:rsidRPr="00067E16">
        <w:rPr>
          <w:rFonts w:cs="Arial"/>
        </w:rPr>
        <w:t>nárůst zaměstnanosti a pokračující významný pokles nezaměstnanosti; podíl nezaměstnaných osob</w:t>
      </w:r>
      <w:r w:rsidRPr="00067E16">
        <w:rPr>
          <w:rFonts w:cs="Arial"/>
          <w:b/>
          <w:bCs/>
        </w:rPr>
        <w:t xml:space="preserve"> činil 6,1 % k 31. březnu 2016 </w:t>
      </w:r>
      <w:r w:rsidRPr="00067E16">
        <w:rPr>
          <w:rFonts w:cs="Arial"/>
          <w:bCs/>
        </w:rPr>
        <w:t>(k</w:t>
      </w:r>
      <w:r w:rsidR="003948AB" w:rsidRPr="00067E16">
        <w:rPr>
          <w:rFonts w:cs="Arial"/>
          <w:bCs/>
        </w:rPr>
        <w:t> </w:t>
      </w:r>
      <w:r w:rsidRPr="00067E16">
        <w:rPr>
          <w:rFonts w:cs="Arial"/>
          <w:bCs/>
        </w:rPr>
        <w:t>31. březnu 2015 byl o 1,1 p. b. vyšší, tj. 7,2 %).</w:t>
      </w:r>
    </w:p>
    <w:p w:rsidR="003948AB" w:rsidRPr="00067E16" w:rsidRDefault="003948AB" w:rsidP="003948AB">
      <w:pPr>
        <w:spacing w:line="360" w:lineRule="auto"/>
        <w:ind w:left="1560"/>
        <w:jc w:val="both"/>
        <w:rPr>
          <w:rFonts w:cs="Arial"/>
          <w:szCs w:val="24"/>
        </w:rPr>
      </w:pPr>
    </w:p>
    <w:p w:rsidR="00F92245" w:rsidRPr="00067E16" w:rsidRDefault="00F92245" w:rsidP="00F92245">
      <w:pPr>
        <w:ind w:left="709"/>
        <w:jc w:val="both"/>
        <w:rPr>
          <w:rFonts w:cs="Arial"/>
          <w:bCs/>
          <w:szCs w:val="24"/>
        </w:rPr>
      </w:pPr>
      <w:r w:rsidRPr="00067E16">
        <w:rPr>
          <w:rFonts w:cs="Arial"/>
          <w:szCs w:val="24"/>
        </w:rPr>
        <w:t xml:space="preserve">Ze statistik o </w:t>
      </w:r>
      <w:r w:rsidRPr="00067E16">
        <w:rPr>
          <w:rFonts w:cs="Arial"/>
          <w:b/>
          <w:bCs/>
          <w:szCs w:val="24"/>
        </w:rPr>
        <w:t>průměrném evidenčním počtu zaměstnanců</w:t>
      </w:r>
      <w:r w:rsidRPr="00067E16">
        <w:rPr>
          <w:rFonts w:cs="Arial"/>
          <w:bCs/>
          <w:szCs w:val="24"/>
        </w:rPr>
        <w:t xml:space="preserve"> na přepočtené počty (dle Podnikové statistiky o mzdách a zaměstnancích, jedná se o druhý nejvýznamnější zdroj dat, který se však liší od Výběrových šetření pracovních sil) je patrný pokračující meziroční nárůst zaměstnanců (o 81,1 tis.). V podnikatelské sféře se zvýšil počet zaměstnanců o 75,6 tis. a v nepodnikatelské sféře o 5,5 tis. V detailnějším odvětvovém členění však byly patrné poměrně značné rozdíly ve vývoji počtu zaměstnanců. Největší a nejvýznamnější nárůst zaměstnanců </w:t>
      </w:r>
      <w:r w:rsidR="007B2BDE">
        <w:rPr>
          <w:rFonts w:cs="Arial"/>
          <w:bCs/>
          <w:szCs w:val="24"/>
        </w:rPr>
        <w:t>byl zaznamenán</w:t>
      </w:r>
      <w:r w:rsidRPr="00067E16">
        <w:rPr>
          <w:rFonts w:cs="Arial"/>
          <w:bCs/>
          <w:szCs w:val="24"/>
        </w:rPr>
        <w:t xml:space="preserve"> ve „zpracovatelském průmyslu“ o 34,8 tis. (3,2 %), dále pak v odvětvích „velkoobchod a maloobchod; opravy a údržba motorových vozidel“ o 12,4 tis., „profesní, vědecké a technické činnosti“ o 6,6 tis. a „doprava a skladování“ o 6,2 %. Ke snížení počtu zaměstnanců došlo ve dvou odvětvích - „těžba a dobývání“ o 1,3 tis. (4,4 %) a „výroba a rozvod elektřiny, plynu, tepla a klimatizovaného vzduch“ o 0,4 tis. V odvětvích „stavebnictví“ a „zemědělství, lesnictví a rybářství“ počet zaměstnanců stagnoval.</w:t>
      </w:r>
    </w:p>
    <w:p w:rsidR="00F92245" w:rsidRPr="00067E16" w:rsidRDefault="00F92245" w:rsidP="003948AB">
      <w:pPr>
        <w:ind w:firstLine="851"/>
        <w:jc w:val="both"/>
        <w:rPr>
          <w:rFonts w:cs="Arial"/>
          <w:bCs/>
          <w:szCs w:val="24"/>
        </w:rPr>
      </w:pPr>
    </w:p>
    <w:p w:rsidR="003948AB" w:rsidRPr="00067E16" w:rsidRDefault="003948AB" w:rsidP="003948AB">
      <w:pPr>
        <w:ind w:firstLine="851"/>
        <w:jc w:val="both"/>
        <w:rPr>
          <w:rFonts w:cs="Arial"/>
          <w:bCs/>
          <w:szCs w:val="24"/>
        </w:rPr>
      </w:pPr>
    </w:p>
    <w:p w:rsidR="003948AB" w:rsidRPr="00067E16" w:rsidRDefault="003948AB" w:rsidP="003948AB">
      <w:pPr>
        <w:ind w:firstLine="851"/>
        <w:jc w:val="both"/>
        <w:rPr>
          <w:rFonts w:cs="Arial"/>
          <w:bCs/>
          <w:szCs w:val="24"/>
        </w:rPr>
      </w:pPr>
    </w:p>
    <w:p w:rsidR="00F92245" w:rsidRPr="00067E16" w:rsidRDefault="003948AB" w:rsidP="003948AB">
      <w:pPr>
        <w:spacing w:line="360" w:lineRule="auto"/>
        <w:jc w:val="both"/>
        <w:rPr>
          <w:rFonts w:cs="Arial"/>
          <w:bCs/>
          <w:szCs w:val="24"/>
        </w:rPr>
      </w:pPr>
      <w:r w:rsidRPr="00067E16">
        <w:rPr>
          <w:rFonts w:cs="Arial"/>
        </w:rPr>
        <w:tab/>
      </w:r>
      <w:r w:rsidR="00F92245" w:rsidRPr="00067E16">
        <w:rPr>
          <w:rFonts w:cs="Arial"/>
          <w:bCs/>
          <w:szCs w:val="24"/>
        </w:rPr>
        <w:t xml:space="preserve">Z hlediska odvětvového členění (podle Klasifikace ekonomických činností </w:t>
      </w:r>
      <w:r w:rsidRPr="00067E16">
        <w:rPr>
          <w:rFonts w:cs="Arial"/>
          <w:bCs/>
          <w:szCs w:val="24"/>
        </w:rPr>
        <w:t xml:space="preserve">  </w:t>
      </w:r>
      <w:r w:rsidR="00F92245" w:rsidRPr="00067E16">
        <w:rPr>
          <w:rFonts w:cs="Arial"/>
          <w:bCs/>
          <w:szCs w:val="24"/>
        </w:rPr>
        <w:t xml:space="preserve">CZ-NACE – viz tabulku č. 4 v příloze) </w:t>
      </w:r>
      <w:r w:rsidR="00F92245" w:rsidRPr="00067E16">
        <w:rPr>
          <w:rFonts w:cs="Arial"/>
          <w:b/>
          <w:bCs/>
          <w:szCs w:val="24"/>
        </w:rPr>
        <w:t xml:space="preserve">dosáhla v 1. čtvrtletí 2016 nejvyšší nominální průměrné mzdy </w:t>
      </w:r>
      <w:r w:rsidR="00F92245" w:rsidRPr="00067E16">
        <w:rPr>
          <w:rFonts w:cs="Arial"/>
          <w:bCs/>
          <w:szCs w:val="24"/>
        </w:rPr>
        <w:t xml:space="preserve">tradičně </w:t>
      </w:r>
      <w:r w:rsidR="00F92245" w:rsidRPr="007B2BDE">
        <w:rPr>
          <w:rFonts w:cs="Arial"/>
          <w:bCs/>
          <w:szCs w:val="24"/>
        </w:rPr>
        <w:t>odvětví</w:t>
      </w:r>
      <w:r w:rsidR="00F92245" w:rsidRPr="00067E16">
        <w:rPr>
          <w:rFonts w:cs="Arial"/>
          <w:b/>
          <w:bCs/>
          <w:szCs w:val="24"/>
        </w:rPr>
        <w:t xml:space="preserve"> „peněžnictví a pojišťovnictví“</w:t>
      </w:r>
      <w:r w:rsidR="00F92245" w:rsidRPr="00067E16">
        <w:rPr>
          <w:rFonts w:cs="Arial"/>
          <w:bCs/>
          <w:szCs w:val="24"/>
        </w:rPr>
        <w:t xml:space="preserve"> (51 914 Kč), </w:t>
      </w:r>
      <w:r w:rsidR="00F92245" w:rsidRPr="007B2BDE">
        <w:rPr>
          <w:rFonts w:cs="Arial"/>
          <w:bCs/>
          <w:szCs w:val="24"/>
        </w:rPr>
        <w:t>odvětví</w:t>
      </w:r>
      <w:r w:rsidR="00F92245" w:rsidRPr="00067E16">
        <w:rPr>
          <w:rFonts w:cs="Arial"/>
          <w:b/>
          <w:bCs/>
          <w:szCs w:val="24"/>
        </w:rPr>
        <w:t xml:space="preserve"> „informační a komunikační činnosti“</w:t>
      </w:r>
      <w:r w:rsidR="00F92245" w:rsidRPr="00067E16">
        <w:rPr>
          <w:rFonts w:cs="Arial"/>
          <w:bCs/>
          <w:szCs w:val="24"/>
        </w:rPr>
        <w:t xml:space="preserve"> (51 518 Kč) a </w:t>
      </w:r>
      <w:r w:rsidR="00F92245" w:rsidRPr="007B2BDE">
        <w:rPr>
          <w:rFonts w:cs="Arial"/>
          <w:bCs/>
          <w:szCs w:val="24"/>
        </w:rPr>
        <w:t>odvětví</w:t>
      </w:r>
      <w:r w:rsidR="00F92245" w:rsidRPr="00067E16">
        <w:rPr>
          <w:rFonts w:cs="Arial"/>
          <w:b/>
          <w:bCs/>
          <w:szCs w:val="24"/>
        </w:rPr>
        <w:t xml:space="preserve"> „výroba a rozvod elektřiny, plynu, tepla a klimatizovaného vzduchu“</w:t>
      </w:r>
      <w:r w:rsidR="00F92245" w:rsidRPr="00067E16">
        <w:rPr>
          <w:rFonts w:cs="Arial"/>
          <w:bCs/>
          <w:szCs w:val="24"/>
        </w:rPr>
        <w:t xml:space="preserve"> (42 694 Kč). Celorepublikový průměr (26 480 Kč) byl překročen rovněž v odvětvích „profesní, vědecké a technické činnosti“ (33 516 Kč), „těžba a dobývání“ (30 001 Kč), „veřejná správa a obrana; povinné sociální zabezpečení“ (28 541 Kč) a „zdravotní a sociální péče“ (26 710 Kč). </w:t>
      </w:r>
      <w:r w:rsidR="00F92245" w:rsidRPr="00067E16">
        <w:rPr>
          <w:rFonts w:cs="Arial"/>
          <w:b/>
          <w:bCs/>
          <w:szCs w:val="24"/>
        </w:rPr>
        <w:t xml:space="preserve">Nejnižší průměrná mzda byla </w:t>
      </w:r>
      <w:r w:rsidR="00F92245" w:rsidRPr="007B2BDE">
        <w:rPr>
          <w:rFonts w:cs="Arial"/>
          <w:bCs/>
          <w:szCs w:val="24"/>
        </w:rPr>
        <w:t>v odvětvích</w:t>
      </w:r>
      <w:r w:rsidR="00F92245" w:rsidRPr="00067E16">
        <w:rPr>
          <w:rFonts w:cs="Arial"/>
          <w:b/>
          <w:bCs/>
          <w:szCs w:val="24"/>
        </w:rPr>
        <w:t xml:space="preserve"> „ubytování, stravování a pohostinství“</w:t>
      </w:r>
      <w:r w:rsidR="00F92245" w:rsidRPr="00067E16">
        <w:rPr>
          <w:rFonts w:cs="Arial"/>
          <w:bCs/>
          <w:szCs w:val="24"/>
        </w:rPr>
        <w:t xml:space="preserve"> (15 019 Kč), </w:t>
      </w:r>
      <w:r w:rsidR="00F92245" w:rsidRPr="00067E16">
        <w:rPr>
          <w:rFonts w:cs="Arial"/>
          <w:b/>
          <w:bCs/>
          <w:szCs w:val="24"/>
        </w:rPr>
        <w:t>„administrativní a podpůrné činnosti“</w:t>
      </w:r>
      <w:r w:rsidR="00F92245" w:rsidRPr="00067E16">
        <w:rPr>
          <w:rFonts w:cs="Arial"/>
          <w:bCs/>
          <w:szCs w:val="24"/>
        </w:rPr>
        <w:t xml:space="preserve"> (17 810 Kč) a </w:t>
      </w:r>
      <w:r w:rsidR="00F92245" w:rsidRPr="00067E16">
        <w:rPr>
          <w:rFonts w:cs="Arial"/>
          <w:b/>
          <w:bCs/>
          <w:szCs w:val="24"/>
        </w:rPr>
        <w:t>„zemědělství, lesnictví a rybářství“</w:t>
      </w:r>
      <w:r w:rsidR="00F92245" w:rsidRPr="00067E16">
        <w:rPr>
          <w:rFonts w:cs="Arial"/>
          <w:bCs/>
          <w:szCs w:val="24"/>
        </w:rPr>
        <w:t xml:space="preserve"> (20 050 Kč).</w:t>
      </w:r>
    </w:p>
    <w:p w:rsidR="00F92245" w:rsidRPr="00067E16" w:rsidRDefault="003948AB" w:rsidP="003948AB">
      <w:pPr>
        <w:spacing w:line="360" w:lineRule="auto"/>
        <w:jc w:val="both"/>
        <w:rPr>
          <w:rFonts w:cs="Arial"/>
          <w:bCs/>
          <w:szCs w:val="24"/>
        </w:rPr>
      </w:pPr>
      <w:r w:rsidRPr="00067E16">
        <w:rPr>
          <w:rFonts w:cs="Arial"/>
          <w:bCs/>
          <w:szCs w:val="24"/>
        </w:rPr>
        <w:lastRenderedPageBreak/>
        <w:tab/>
      </w:r>
      <w:r w:rsidR="00F92245" w:rsidRPr="00067E16">
        <w:rPr>
          <w:rFonts w:cs="Arial"/>
          <w:bCs/>
          <w:szCs w:val="24"/>
        </w:rPr>
        <w:t xml:space="preserve">Dynamika růstu průměrné mzdy v jednotlivých odvětvích v 1. čtvrtletí letošního roku byla značně diferencovaná a pohybovala se od 0,3 % do 7,2 % s tím, že k výraznějšímu zvýšení došlo v odvětvích vykazujících dlouhodobě nízkou úroveň výdělků. Pouze polovina odvětví zaznamenala vyšší (nadprůměrný) nárůst průměrné mzdy. </w:t>
      </w:r>
      <w:r w:rsidR="00F92245" w:rsidRPr="00067E16">
        <w:rPr>
          <w:rFonts w:cs="Arial"/>
          <w:b/>
          <w:bCs/>
          <w:szCs w:val="24"/>
        </w:rPr>
        <w:t>K nejnižšímu nárůstu průměrné mzdy došlo</w:t>
      </w:r>
      <w:r w:rsidR="00F92245" w:rsidRPr="00067E16">
        <w:rPr>
          <w:rFonts w:cs="Arial"/>
          <w:bCs/>
          <w:szCs w:val="24"/>
        </w:rPr>
        <w:t xml:space="preserve"> v 1. čtvrtletí 2016 u odvětví </w:t>
      </w:r>
      <w:r w:rsidR="00F92245" w:rsidRPr="00067E16">
        <w:rPr>
          <w:rFonts w:cs="Arial"/>
          <w:b/>
          <w:bCs/>
          <w:szCs w:val="24"/>
        </w:rPr>
        <w:t>„výroba a rozvod elektřiny, plynu, tepla a klimatizovaného vzduch“</w:t>
      </w:r>
      <w:r w:rsidR="00F92245" w:rsidRPr="00067E16">
        <w:rPr>
          <w:rFonts w:cs="Arial"/>
          <w:bCs/>
          <w:szCs w:val="24"/>
        </w:rPr>
        <w:t xml:space="preserve"> (nominálně o 0,3 %, reálně však pokles o 0,2 %), </w:t>
      </w:r>
      <w:r w:rsidR="00F92245" w:rsidRPr="00067E16">
        <w:rPr>
          <w:rFonts w:cs="Arial"/>
          <w:b/>
          <w:bCs/>
          <w:szCs w:val="24"/>
        </w:rPr>
        <w:t>„ostatní činnosti“</w:t>
      </w:r>
      <w:r w:rsidR="00F92245" w:rsidRPr="00067E16">
        <w:rPr>
          <w:rFonts w:cs="Arial"/>
          <w:bCs/>
          <w:szCs w:val="24"/>
        </w:rPr>
        <w:t xml:space="preserve"> (o 1,1 %, resp. o 0,6 %), </w:t>
      </w:r>
      <w:r w:rsidR="00F92245" w:rsidRPr="00067E16">
        <w:rPr>
          <w:rFonts w:cs="Arial"/>
          <w:b/>
          <w:bCs/>
          <w:szCs w:val="24"/>
        </w:rPr>
        <w:t>„těžba a dobývání“</w:t>
      </w:r>
      <w:r w:rsidR="00F92245" w:rsidRPr="00067E16">
        <w:rPr>
          <w:rFonts w:cs="Arial"/>
          <w:bCs/>
          <w:szCs w:val="24"/>
        </w:rPr>
        <w:t xml:space="preserve"> a </w:t>
      </w:r>
      <w:r w:rsidR="00F92245" w:rsidRPr="00067E16">
        <w:rPr>
          <w:rFonts w:cs="Arial"/>
          <w:b/>
          <w:bCs/>
          <w:szCs w:val="24"/>
        </w:rPr>
        <w:t>„peněžnictví a pojišťovnictví“</w:t>
      </w:r>
      <w:r w:rsidR="00F92245" w:rsidRPr="00067E16">
        <w:rPr>
          <w:rFonts w:cs="Arial"/>
          <w:bCs/>
          <w:szCs w:val="24"/>
        </w:rPr>
        <w:t xml:space="preserve"> (obě shodně o 1,2 %, resp. o 0,7 %). Naopak </w:t>
      </w:r>
      <w:r w:rsidR="00F92245" w:rsidRPr="00067E16">
        <w:rPr>
          <w:rFonts w:cs="Arial"/>
          <w:b/>
          <w:bCs/>
          <w:szCs w:val="24"/>
        </w:rPr>
        <w:t xml:space="preserve">největšího meziročního nárůstu průměrné mzdy bylo dosaženo v obou nejhůře placených </w:t>
      </w:r>
      <w:r w:rsidR="00F92245" w:rsidRPr="007B2BDE">
        <w:rPr>
          <w:rFonts w:cs="Arial"/>
          <w:b/>
          <w:bCs/>
          <w:szCs w:val="24"/>
        </w:rPr>
        <w:t>odvětvích</w:t>
      </w:r>
      <w:r w:rsidR="00F92245" w:rsidRPr="00067E16">
        <w:rPr>
          <w:rFonts w:cs="Arial"/>
          <w:bCs/>
          <w:szCs w:val="24"/>
        </w:rPr>
        <w:t>, tzn.</w:t>
      </w:r>
      <w:r w:rsidR="00F92245" w:rsidRPr="00067E16">
        <w:rPr>
          <w:rFonts w:cs="Arial"/>
          <w:b/>
          <w:bCs/>
          <w:szCs w:val="24"/>
        </w:rPr>
        <w:t xml:space="preserve"> „ubytování, stravování a pohostinství“ </w:t>
      </w:r>
      <w:r w:rsidR="00F92245" w:rsidRPr="00067E16">
        <w:rPr>
          <w:rFonts w:cs="Arial"/>
          <w:bCs/>
          <w:szCs w:val="24"/>
        </w:rPr>
        <w:t xml:space="preserve">(nominálně o 7,2 %, reálně o 6,7 %) a </w:t>
      </w:r>
      <w:r w:rsidR="00F92245" w:rsidRPr="00067E16">
        <w:rPr>
          <w:rFonts w:cs="Arial"/>
          <w:b/>
          <w:bCs/>
          <w:szCs w:val="24"/>
        </w:rPr>
        <w:t>„administrativní a podpůrné činnosti“</w:t>
      </w:r>
      <w:r w:rsidR="00F92245" w:rsidRPr="00067E16">
        <w:rPr>
          <w:rFonts w:cs="Arial"/>
          <w:bCs/>
          <w:szCs w:val="24"/>
        </w:rPr>
        <w:t xml:space="preserve"> (o 6,5 %, resp. o 6,0 %), dále pak v odvětvích </w:t>
      </w:r>
      <w:r w:rsidR="00F92245" w:rsidRPr="00067E16">
        <w:rPr>
          <w:rFonts w:cs="Arial"/>
          <w:b/>
          <w:bCs/>
          <w:szCs w:val="24"/>
        </w:rPr>
        <w:t>„zásobování vodou; činnosti související s odpadními vodami, odpady a sanacemi“</w:t>
      </w:r>
      <w:r w:rsidR="00F92245" w:rsidRPr="00067E16">
        <w:rPr>
          <w:rFonts w:cs="Arial"/>
          <w:bCs/>
          <w:szCs w:val="24"/>
        </w:rPr>
        <w:t xml:space="preserve"> (o 6,1 %, resp. o 5,6 %) a </w:t>
      </w:r>
      <w:r w:rsidR="00F92245" w:rsidRPr="00067E16">
        <w:rPr>
          <w:rFonts w:cs="Arial"/>
          <w:b/>
          <w:bCs/>
          <w:szCs w:val="24"/>
        </w:rPr>
        <w:t>„kulturní, zábavní a rekreační činnosti“</w:t>
      </w:r>
      <w:r w:rsidR="00F92245" w:rsidRPr="00067E16">
        <w:rPr>
          <w:rFonts w:cs="Arial"/>
          <w:bCs/>
          <w:szCs w:val="24"/>
        </w:rPr>
        <w:t xml:space="preserve"> (o 6,0 %, resp. o 5,5 %).</w:t>
      </w:r>
    </w:p>
    <w:p w:rsidR="003948AB" w:rsidRPr="00067E16" w:rsidRDefault="003948AB" w:rsidP="003948AB">
      <w:pPr>
        <w:spacing w:line="360" w:lineRule="auto"/>
        <w:jc w:val="both"/>
        <w:rPr>
          <w:rFonts w:cs="Arial"/>
          <w:bCs/>
          <w:szCs w:val="24"/>
        </w:rPr>
      </w:pPr>
    </w:p>
    <w:p w:rsidR="00F92245" w:rsidRPr="00067E16" w:rsidRDefault="003948AB" w:rsidP="003948AB">
      <w:pPr>
        <w:spacing w:line="360" w:lineRule="auto"/>
        <w:jc w:val="both"/>
        <w:rPr>
          <w:rFonts w:cs="Arial"/>
          <w:bCs/>
          <w:szCs w:val="24"/>
        </w:rPr>
      </w:pPr>
      <w:r w:rsidRPr="00067E16">
        <w:rPr>
          <w:rFonts w:cs="Arial"/>
          <w:bCs/>
          <w:szCs w:val="24"/>
        </w:rPr>
        <w:tab/>
      </w:r>
      <w:r w:rsidR="00F92245" w:rsidRPr="00067E16">
        <w:rPr>
          <w:rFonts w:cs="Arial"/>
          <w:b/>
          <w:szCs w:val="24"/>
        </w:rPr>
        <w:t>Meziodvětvová mzdová diferenciace</w:t>
      </w:r>
      <w:r w:rsidR="00F92245" w:rsidRPr="00067E16">
        <w:rPr>
          <w:rFonts w:cs="Arial"/>
          <w:bCs/>
          <w:szCs w:val="24"/>
        </w:rPr>
        <w:t xml:space="preserve"> se proti stejnému období předchozího roku </w:t>
      </w:r>
      <w:r w:rsidR="00F92245" w:rsidRPr="00067E16">
        <w:rPr>
          <w:rFonts w:cs="Arial"/>
          <w:b/>
          <w:bCs/>
          <w:szCs w:val="24"/>
        </w:rPr>
        <w:t>snížila; variační koeficient</w:t>
      </w:r>
      <w:r w:rsidR="00F92245" w:rsidRPr="00067E16">
        <w:rPr>
          <w:rFonts w:cs="Arial"/>
          <w:bCs/>
          <w:szCs w:val="24"/>
        </w:rPr>
        <w:t xml:space="preserve"> průměrných mezd (podle sekcí CZ</w:t>
      </w:r>
      <w:r w:rsidR="00F92245" w:rsidRPr="00067E16">
        <w:rPr>
          <w:rFonts w:cs="Arial"/>
          <w:bCs/>
          <w:szCs w:val="24"/>
        </w:rPr>
        <w:noBreakHyphen/>
        <w:t xml:space="preserve">NACE) </w:t>
      </w:r>
      <w:r w:rsidR="00F92245" w:rsidRPr="00067E16">
        <w:rPr>
          <w:rFonts w:cs="Arial"/>
          <w:b/>
          <w:bCs/>
          <w:szCs w:val="24"/>
        </w:rPr>
        <w:t>poklesl</w:t>
      </w:r>
      <w:r w:rsidR="00F92245" w:rsidRPr="00067E16">
        <w:rPr>
          <w:rFonts w:cs="Arial"/>
          <w:bCs/>
          <w:szCs w:val="24"/>
        </w:rPr>
        <w:t xml:space="preserve"> o 1,1 p. b. na 35,7 %.</w:t>
      </w:r>
    </w:p>
    <w:p w:rsidR="003948AB" w:rsidRPr="00067E16" w:rsidRDefault="003948AB" w:rsidP="003948AB">
      <w:pPr>
        <w:spacing w:line="360" w:lineRule="auto"/>
        <w:jc w:val="both"/>
        <w:rPr>
          <w:rFonts w:cs="Arial"/>
          <w:bCs/>
          <w:szCs w:val="24"/>
        </w:rPr>
      </w:pPr>
    </w:p>
    <w:p w:rsidR="00F92245" w:rsidRDefault="003948AB" w:rsidP="003948AB">
      <w:pPr>
        <w:spacing w:line="360" w:lineRule="auto"/>
        <w:jc w:val="both"/>
        <w:rPr>
          <w:rFonts w:cs="Arial"/>
          <w:bCs/>
          <w:szCs w:val="24"/>
        </w:rPr>
      </w:pPr>
      <w:r w:rsidRPr="00067E16">
        <w:rPr>
          <w:rFonts w:cs="Arial"/>
          <w:bCs/>
          <w:szCs w:val="24"/>
        </w:rPr>
        <w:tab/>
      </w:r>
      <w:r w:rsidR="00F92245" w:rsidRPr="00067E16">
        <w:rPr>
          <w:rFonts w:cs="Arial"/>
          <w:b/>
          <w:szCs w:val="24"/>
        </w:rPr>
        <w:t xml:space="preserve">Výše průměrné nominální mzdy se </w:t>
      </w:r>
      <w:r w:rsidR="00F92245" w:rsidRPr="00067E16">
        <w:rPr>
          <w:rFonts w:cs="Arial"/>
          <w:bCs/>
          <w:szCs w:val="24"/>
        </w:rPr>
        <w:t>výrazně</w:t>
      </w:r>
      <w:r w:rsidR="00F92245" w:rsidRPr="00067E16">
        <w:rPr>
          <w:rFonts w:cs="Arial"/>
          <w:szCs w:val="24"/>
        </w:rPr>
        <w:t xml:space="preserve"> lišila i</w:t>
      </w:r>
      <w:r w:rsidR="00F92245" w:rsidRPr="00067E16">
        <w:rPr>
          <w:rFonts w:cs="Arial"/>
          <w:b/>
          <w:szCs w:val="24"/>
        </w:rPr>
        <w:t xml:space="preserve"> podle velikosti zpravodajské jednotky, tj. čím větší byl počet zaměstnanců, tím vyšší byla průměrná mzda.</w:t>
      </w:r>
      <w:r w:rsidR="00F92245" w:rsidRPr="00067E16">
        <w:rPr>
          <w:rFonts w:cs="Arial"/>
          <w:bCs/>
          <w:szCs w:val="24"/>
        </w:rPr>
        <w:t xml:space="preserve"> V podnicích </w:t>
      </w:r>
      <w:r w:rsidR="007B2BDE">
        <w:rPr>
          <w:rFonts w:cs="Arial"/>
          <w:bCs/>
          <w:szCs w:val="24"/>
        </w:rPr>
        <w:t>do</w:t>
      </w:r>
      <w:r w:rsidR="00F92245" w:rsidRPr="00067E16">
        <w:rPr>
          <w:rFonts w:cs="Arial"/>
          <w:bCs/>
          <w:szCs w:val="24"/>
        </w:rPr>
        <w:t xml:space="preserve"> 19 zaměstnanc</w:t>
      </w:r>
      <w:r w:rsidR="007B2BDE">
        <w:rPr>
          <w:rFonts w:cs="Arial"/>
          <w:bCs/>
          <w:szCs w:val="24"/>
        </w:rPr>
        <w:t>ů</w:t>
      </w:r>
      <w:r w:rsidR="00F92245" w:rsidRPr="00067E16">
        <w:rPr>
          <w:rFonts w:cs="Arial"/>
          <w:bCs/>
          <w:szCs w:val="24"/>
        </w:rPr>
        <w:t xml:space="preserve"> byla nejnižší a činila 19 495 Kč (cca 74 % průměrné mzdy v národním hospodářství), naopak nejvyšší (31 169 Kč, tj.</w:t>
      </w:r>
      <w:r w:rsidR="007B2BDE">
        <w:rPr>
          <w:rFonts w:cs="Arial"/>
          <w:bCs/>
          <w:szCs w:val="24"/>
        </w:rPr>
        <w:t> </w:t>
      </w:r>
      <w:r w:rsidR="00F92245" w:rsidRPr="00067E16">
        <w:rPr>
          <w:rFonts w:cs="Arial"/>
          <w:bCs/>
          <w:szCs w:val="24"/>
        </w:rPr>
        <w:t xml:space="preserve">téměř 118 % průměrné mzdy v národním hospodářství) byla vyplacena v organizacích s 1 000 a více zaměstnanci. </w:t>
      </w:r>
      <w:r w:rsidR="00F92245" w:rsidRPr="00067E16">
        <w:rPr>
          <w:rFonts w:cs="Arial"/>
          <w:b/>
          <w:bCs/>
          <w:szCs w:val="24"/>
        </w:rPr>
        <w:t xml:space="preserve">Nejpříznivější meziroční vývoj </w:t>
      </w:r>
      <w:r w:rsidR="00F92245" w:rsidRPr="00067E16">
        <w:rPr>
          <w:rFonts w:cs="Arial"/>
          <w:bCs/>
          <w:szCs w:val="24"/>
        </w:rPr>
        <w:t>byl zaznamenán</w:t>
      </w:r>
      <w:r w:rsidR="00F92245" w:rsidRPr="00067E16">
        <w:rPr>
          <w:rFonts w:cs="Arial"/>
          <w:b/>
          <w:bCs/>
          <w:szCs w:val="24"/>
        </w:rPr>
        <w:t xml:space="preserve"> v druhé největší velikostní kategorii 500 </w:t>
      </w:r>
      <w:r w:rsidR="00F92245" w:rsidRPr="00067E16">
        <w:rPr>
          <w:rFonts w:cs="Arial"/>
          <w:b/>
          <w:bCs/>
          <w:szCs w:val="24"/>
        </w:rPr>
        <w:noBreakHyphen/>
        <w:t> 9</w:t>
      </w:r>
      <w:r w:rsidR="00555558">
        <w:rPr>
          <w:rFonts w:cs="Arial"/>
          <w:b/>
          <w:bCs/>
          <w:szCs w:val="24"/>
        </w:rPr>
        <w:t>99</w:t>
      </w:r>
      <w:r w:rsidR="00F92245" w:rsidRPr="00067E16">
        <w:rPr>
          <w:rFonts w:cs="Arial"/>
          <w:b/>
          <w:bCs/>
          <w:szCs w:val="24"/>
        </w:rPr>
        <w:t xml:space="preserve"> zaměstnanců, </w:t>
      </w:r>
      <w:r w:rsidR="00F92245" w:rsidRPr="00067E16">
        <w:rPr>
          <w:rFonts w:cs="Arial"/>
          <w:bCs/>
          <w:szCs w:val="24"/>
        </w:rPr>
        <w:t xml:space="preserve">kde </w:t>
      </w:r>
      <w:r w:rsidR="00F92245" w:rsidRPr="00067E16">
        <w:rPr>
          <w:rFonts w:cs="Arial"/>
          <w:b/>
          <w:bCs/>
          <w:szCs w:val="24"/>
        </w:rPr>
        <w:t>došlo k nejvyššímu nárůstu průměrné mzdy</w:t>
      </w:r>
      <w:r w:rsidR="00F92245" w:rsidRPr="00067E16">
        <w:rPr>
          <w:rFonts w:cs="Arial"/>
          <w:bCs/>
          <w:szCs w:val="24"/>
        </w:rPr>
        <w:t xml:space="preserve"> (o 6,5 %). Největší nárůst zaměstnanců byl zaznamenán v nejmenších podnicích</w:t>
      </w:r>
      <w:r w:rsidR="007B2BDE">
        <w:rPr>
          <w:rFonts w:cs="Arial"/>
          <w:bCs/>
          <w:szCs w:val="24"/>
        </w:rPr>
        <w:t xml:space="preserve"> do 19 zaměstnanců -</w:t>
      </w:r>
      <w:r w:rsidR="00F92245" w:rsidRPr="00067E16">
        <w:rPr>
          <w:rFonts w:cs="Arial"/>
          <w:bCs/>
          <w:szCs w:val="24"/>
        </w:rPr>
        <w:t>o 29,4 tis</w:t>
      </w:r>
      <w:r w:rsidR="007B2BDE">
        <w:rPr>
          <w:rFonts w:cs="Arial"/>
          <w:bCs/>
          <w:szCs w:val="24"/>
        </w:rPr>
        <w:t>.</w:t>
      </w:r>
      <w:r w:rsidR="00F92245" w:rsidRPr="00067E16">
        <w:rPr>
          <w:rFonts w:cs="Arial"/>
          <w:bCs/>
          <w:szCs w:val="24"/>
        </w:rPr>
        <w:t xml:space="preserve"> a současně průměrná mzda v této velikostní kategorii dosáhla nadprůměrného nárůstu o 5,3 %. Pouze v podnicích s 20 </w:t>
      </w:r>
      <w:r w:rsidR="00F92245" w:rsidRPr="00067E16">
        <w:rPr>
          <w:rFonts w:cs="Arial"/>
          <w:bCs/>
          <w:szCs w:val="24"/>
        </w:rPr>
        <w:noBreakHyphen/>
        <w:t> 49 zaměstnanci došlo k</w:t>
      </w:r>
      <w:r w:rsidR="007B2BDE">
        <w:rPr>
          <w:rFonts w:cs="Arial"/>
          <w:bCs/>
          <w:szCs w:val="24"/>
        </w:rPr>
        <w:t> </w:t>
      </w:r>
      <w:r w:rsidR="00F92245" w:rsidRPr="00067E16">
        <w:rPr>
          <w:rFonts w:cs="Arial"/>
          <w:bCs/>
          <w:szCs w:val="24"/>
        </w:rPr>
        <w:t>poklesu počtu zaměstnanců (o 16,5 tis.) – podrobněji viz tabulku č. 5 v příloze.</w:t>
      </w:r>
    </w:p>
    <w:p w:rsidR="007B2BDE" w:rsidRPr="00067E16" w:rsidRDefault="007B2BDE" w:rsidP="003948AB">
      <w:pPr>
        <w:spacing w:line="360" w:lineRule="auto"/>
        <w:jc w:val="both"/>
        <w:rPr>
          <w:rFonts w:cs="Arial"/>
          <w:bCs/>
          <w:szCs w:val="24"/>
        </w:rPr>
      </w:pPr>
    </w:p>
    <w:p w:rsidR="003948AB" w:rsidRPr="00067E16" w:rsidRDefault="003948AB" w:rsidP="003948AB">
      <w:pPr>
        <w:spacing w:line="360" w:lineRule="auto"/>
        <w:jc w:val="both"/>
        <w:rPr>
          <w:rFonts w:cs="Arial"/>
          <w:bCs/>
          <w:szCs w:val="24"/>
        </w:rPr>
      </w:pPr>
    </w:p>
    <w:p w:rsidR="00F92245" w:rsidRPr="00067E16" w:rsidRDefault="003948AB" w:rsidP="003948AB">
      <w:pPr>
        <w:spacing w:line="360" w:lineRule="auto"/>
        <w:jc w:val="both"/>
        <w:rPr>
          <w:rFonts w:cs="Arial"/>
          <w:bCs/>
          <w:szCs w:val="24"/>
        </w:rPr>
      </w:pPr>
      <w:r w:rsidRPr="00067E16">
        <w:rPr>
          <w:rFonts w:cs="Arial"/>
          <w:bCs/>
          <w:szCs w:val="24"/>
        </w:rPr>
        <w:lastRenderedPageBreak/>
        <w:tab/>
      </w:r>
      <w:r w:rsidR="00F92245" w:rsidRPr="00067E16">
        <w:rPr>
          <w:rFonts w:cs="Arial"/>
          <w:bCs/>
          <w:szCs w:val="24"/>
        </w:rPr>
        <w:t xml:space="preserve">K meziročnímu </w:t>
      </w:r>
      <w:r w:rsidR="00F92245" w:rsidRPr="00067E16">
        <w:rPr>
          <w:rFonts w:cs="Arial"/>
          <w:b/>
          <w:bCs/>
          <w:szCs w:val="24"/>
        </w:rPr>
        <w:t>nominálnímu nárůstu</w:t>
      </w:r>
      <w:r w:rsidR="00F92245" w:rsidRPr="00067E16">
        <w:rPr>
          <w:rFonts w:cs="Arial"/>
          <w:bCs/>
          <w:szCs w:val="24"/>
        </w:rPr>
        <w:t xml:space="preserve"> </w:t>
      </w:r>
      <w:r w:rsidR="00F92245" w:rsidRPr="00067E16">
        <w:rPr>
          <w:rFonts w:cs="Arial"/>
          <w:b/>
          <w:bCs/>
          <w:szCs w:val="24"/>
        </w:rPr>
        <w:t>průměrné mzdy došlo</w:t>
      </w:r>
      <w:r w:rsidR="00F92245" w:rsidRPr="00067E16">
        <w:rPr>
          <w:rFonts w:cs="Arial"/>
          <w:bCs/>
          <w:szCs w:val="24"/>
        </w:rPr>
        <w:t xml:space="preserve">, s výjimkou hl. města Prahy, </w:t>
      </w:r>
      <w:r w:rsidR="00F92245" w:rsidRPr="00067E16">
        <w:rPr>
          <w:rFonts w:cs="Arial"/>
          <w:b/>
          <w:bCs/>
          <w:szCs w:val="24"/>
        </w:rPr>
        <w:t>ve všech krajích ČR,</w:t>
      </w:r>
      <w:r w:rsidR="00F92245" w:rsidRPr="00067E16">
        <w:rPr>
          <w:rFonts w:cs="Arial"/>
          <w:bCs/>
          <w:szCs w:val="24"/>
        </w:rPr>
        <w:t xml:space="preserve"> a to od 5,0 % do 8,1 %. Přestože průměrná mzda </w:t>
      </w:r>
      <w:r w:rsidR="00F92245" w:rsidRPr="00067E16">
        <w:rPr>
          <w:rFonts w:cs="Arial"/>
          <w:b/>
          <w:bCs/>
          <w:szCs w:val="24"/>
        </w:rPr>
        <w:t xml:space="preserve">v hl. m. Praze </w:t>
      </w:r>
      <w:r w:rsidR="00F92245" w:rsidRPr="00067E16">
        <w:rPr>
          <w:rFonts w:cs="Arial"/>
          <w:bCs/>
          <w:szCs w:val="24"/>
        </w:rPr>
        <w:t xml:space="preserve">poklesla o 0,7 %, byla zde jako obvykle zaznamenána její </w:t>
      </w:r>
      <w:r w:rsidR="00F92245" w:rsidRPr="00067E16">
        <w:rPr>
          <w:rFonts w:cs="Arial"/>
          <w:b/>
          <w:bCs/>
          <w:szCs w:val="24"/>
        </w:rPr>
        <w:t xml:space="preserve">nejvyšší úroveň </w:t>
      </w:r>
      <w:r w:rsidR="005124CE">
        <w:rPr>
          <w:rFonts w:cs="Arial"/>
          <w:b/>
          <w:bCs/>
          <w:szCs w:val="24"/>
        </w:rPr>
        <w:t>–</w:t>
      </w:r>
      <w:r w:rsidR="00F92245" w:rsidRPr="00067E16">
        <w:rPr>
          <w:rFonts w:cs="Arial"/>
          <w:b/>
          <w:bCs/>
          <w:szCs w:val="24"/>
        </w:rPr>
        <w:t xml:space="preserve"> dosáhla výše 32 934 Kč</w:t>
      </w:r>
      <w:r w:rsidR="00F92245" w:rsidRPr="00067E16">
        <w:rPr>
          <w:rFonts w:cs="Arial"/>
          <w:bCs/>
          <w:szCs w:val="24"/>
        </w:rPr>
        <w:t xml:space="preserve"> (tj. cca 124 % celorepublikového průměru). Nejvýznamnější relativní vzestup průměrné nominální mzdy vykázaly Karlovarský (o 8,1 %), Královéhradecký (o 7,6 %) a Olomoucký kraj (o 7,3 %); naopak nejnižší nárůst </w:t>
      </w:r>
      <w:r w:rsidR="00F92245" w:rsidRPr="00E27F35">
        <w:rPr>
          <w:rFonts w:cs="Arial"/>
          <w:bCs/>
          <w:szCs w:val="24"/>
        </w:rPr>
        <w:t>byl (</w:t>
      </w:r>
      <w:r w:rsidR="00683D80" w:rsidRPr="00E27F35">
        <w:rPr>
          <w:rFonts w:cs="Arial"/>
          <w:bCs/>
          <w:szCs w:val="24"/>
        </w:rPr>
        <w:t xml:space="preserve">při již zmíněném </w:t>
      </w:r>
      <w:r w:rsidR="00F92245" w:rsidRPr="00E27F35">
        <w:rPr>
          <w:rFonts w:cs="Arial"/>
          <w:bCs/>
          <w:szCs w:val="24"/>
        </w:rPr>
        <w:t xml:space="preserve">poklesu </w:t>
      </w:r>
      <w:r w:rsidR="00F92245" w:rsidRPr="00067E16">
        <w:rPr>
          <w:rFonts w:cs="Arial"/>
          <w:bCs/>
          <w:szCs w:val="24"/>
        </w:rPr>
        <w:t xml:space="preserve">v hl. m. Praze) ve Středočeském (o 5,0 %), Plzeňském a Libereckém kraji (oba shodně o 5,6 %) – viz tabulku č. 6 v příloze. </w:t>
      </w:r>
      <w:r w:rsidR="00F92245" w:rsidRPr="00067E16">
        <w:rPr>
          <w:rFonts w:cs="Arial"/>
          <w:b/>
          <w:bCs/>
          <w:szCs w:val="24"/>
        </w:rPr>
        <w:t xml:space="preserve">Nejnižší absolutní úroveň průměrné mzdy 23 096 Kč </w:t>
      </w:r>
      <w:r w:rsidR="00F92245" w:rsidRPr="00067E16">
        <w:rPr>
          <w:rFonts w:cs="Arial"/>
          <w:bCs/>
          <w:szCs w:val="24"/>
        </w:rPr>
        <w:t xml:space="preserve">byla zaznamenána </w:t>
      </w:r>
      <w:r w:rsidR="00F92245" w:rsidRPr="00067E16">
        <w:rPr>
          <w:rFonts w:cs="Arial"/>
          <w:b/>
          <w:bCs/>
          <w:szCs w:val="24"/>
        </w:rPr>
        <w:t>v Karlovarském kraji.</w:t>
      </w:r>
      <w:r w:rsidR="00F92245" w:rsidRPr="00067E16">
        <w:rPr>
          <w:rFonts w:cs="Arial"/>
          <w:bCs/>
          <w:szCs w:val="24"/>
        </w:rPr>
        <w:t xml:space="preserve"> Současně došlo ke snížení rozdílu extrémních mzdových hladin (Praha x Karlovarský kraj) o 1 950 Kč na 9 838 Kč. Hodnota variačního koeficientu v tomto členění poklesla z 11,5 % v 1. čtvrtletí 2015 na 9,2 % v 1. čtvrtletí 2016.</w:t>
      </w:r>
    </w:p>
    <w:p w:rsidR="00AE1B0D" w:rsidRPr="00067E16" w:rsidRDefault="00AE1B0D" w:rsidP="00B61D17">
      <w:pPr>
        <w:spacing w:line="360" w:lineRule="auto"/>
        <w:jc w:val="both"/>
        <w:rPr>
          <w:rFonts w:cs="Arial"/>
          <w:b/>
          <w:szCs w:val="24"/>
        </w:rPr>
      </w:pPr>
    </w:p>
    <w:p w:rsidR="00AE1B0D" w:rsidRPr="00067E16" w:rsidRDefault="00AE1B0D" w:rsidP="00B61D17">
      <w:pPr>
        <w:spacing w:line="360" w:lineRule="auto"/>
        <w:jc w:val="both"/>
        <w:rPr>
          <w:rFonts w:cs="Arial"/>
          <w:b/>
          <w:szCs w:val="24"/>
        </w:rPr>
      </w:pPr>
    </w:p>
    <w:p w:rsidR="00AE1B0D" w:rsidRPr="00067E16" w:rsidRDefault="00AE1B0D" w:rsidP="00B61D17">
      <w:pPr>
        <w:spacing w:line="360" w:lineRule="auto"/>
        <w:jc w:val="both"/>
        <w:rPr>
          <w:rFonts w:cs="Arial"/>
          <w:b/>
          <w:szCs w:val="24"/>
        </w:rPr>
      </w:pPr>
    </w:p>
    <w:p w:rsidR="00AE1B0D" w:rsidRPr="00067E16" w:rsidRDefault="00AE1B0D" w:rsidP="00B61D17">
      <w:pPr>
        <w:spacing w:line="360" w:lineRule="auto"/>
        <w:jc w:val="both"/>
        <w:rPr>
          <w:rFonts w:cs="Arial"/>
          <w:b/>
          <w:szCs w:val="24"/>
        </w:rPr>
      </w:pPr>
    </w:p>
    <w:p w:rsidR="00AE1B0D" w:rsidRPr="00067E16" w:rsidRDefault="00AE1B0D" w:rsidP="00B61D17">
      <w:pPr>
        <w:spacing w:line="360" w:lineRule="auto"/>
        <w:jc w:val="both"/>
        <w:rPr>
          <w:rFonts w:cs="Arial"/>
          <w:b/>
          <w:szCs w:val="24"/>
        </w:rPr>
      </w:pPr>
    </w:p>
    <w:p w:rsidR="00AE1B0D" w:rsidRPr="00067E16" w:rsidRDefault="00AE1B0D" w:rsidP="00B61D17">
      <w:pPr>
        <w:spacing w:line="360" w:lineRule="auto"/>
        <w:jc w:val="both"/>
        <w:rPr>
          <w:rFonts w:cs="Arial"/>
          <w:b/>
          <w:szCs w:val="24"/>
        </w:rPr>
      </w:pPr>
    </w:p>
    <w:p w:rsidR="00AE1B0D" w:rsidRPr="00067E16" w:rsidRDefault="00AE1B0D" w:rsidP="00B61D17">
      <w:pPr>
        <w:spacing w:line="360" w:lineRule="auto"/>
        <w:jc w:val="both"/>
        <w:rPr>
          <w:rFonts w:cs="Arial"/>
          <w:b/>
          <w:szCs w:val="24"/>
        </w:rPr>
      </w:pPr>
    </w:p>
    <w:p w:rsidR="00AE1B0D" w:rsidRPr="00067E16" w:rsidRDefault="00AE1B0D" w:rsidP="00B61D17">
      <w:pPr>
        <w:spacing w:line="360" w:lineRule="auto"/>
        <w:jc w:val="both"/>
        <w:rPr>
          <w:rFonts w:cs="Arial"/>
          <w:b/>
          <w:szCs w:val="24"/>
        </w:rPr>
      </w:pPr>
    </w:p>
    <w:p w:rsidR="00AE1B0D" w:rsidRPr="00067E16" w:rsidRDefault="00AE1B0D" w:rsidP="00B61D17">
      <w:pPr>
        <w:spacing w:line="360" w:lineRule="auto"/>
        <w:jc w:val="both"/>
        <w:rPr>
          <w:rFonts w:cs="Arial"/>
          <w:b/>
          <w:szCs w:val="24"/>
        </w:rPr>
      </w:pPr>
    </w:p>
    <w:p w:rsidR="00AE1B0D" w:rsidRPr="00067E16" w:rsidRDefault="00AE1B0D" w:rsidP="00B61D17">
      <w:pPr>
        <w:spacing w:line="360" w:lineRule="auto"/>
        <w:jc w:val="both"/>
        <w:rPr>
          <w:rFonts w:cs="Arial"/>
          <w:b/>
          <w:szCs w:val="24"/>
        </w:rPr>
      </w:pPr>
    </w:p>
    <w:p w:rsidR="00AE1B0D" w:rsidRPr="00067E16" w:rsidRDefault="00AE1B0D" w:rsidP="00B61D17">
      <w:pPr>
        <w:spacing w:line="360" w:lineRule="auto"/>
        <w:jc w:val="both"/>
        <w:rPr>
          <w:rFonts w:cs="Arial"/>
          <w:b/>
          <w:szCs w:val="24"/>
        </w:rPr>
      </w:pPr>
    </w:p>
    <w:p w:rsidR="003948AB" w:rsidRPr="00067E16" w:rsidRDefault="003948AB" w:rsidP="00B61D17">
      <w:pPr>
        <w:spacing w:line="360" w:lineRule="auto"/>
        <w:jc w:val="both"/>
        <w:rPr>
          <w:rFonts w:cs="Arial"/>
          <w:b/>
          <w:szCs w:val="24"/>
        </w:rPr>
      </w:pPr>
    </w:p>
    <w:p w:rsidR="003948AB" w:rsidRPr="00067E16" w:rsidRDefault="003948AB" w:rsidP="00B61D17">
      <w:pPr>
        <w:spacing w:line="360" w:lineRule="auto"/>
        <w:jc w:val="both"/>
        <w:rPr>
          <w:rFonts w:cs="Arial"/>
          <w:b/>
          <w:szCs w:val="24"/>
        </w:rPr>
      </w:pPr>
    </w:p>
    <w:p w:rsidR="003948AB" w:rsidRPr="00067E16" w:rsidRDefault="003948AB" w:rsidP="00B61D17">
      <w:pPr>
        <w:spacing w:line="360" w:lineRule="auto"/>
        <w:jc w:val="both"/>
        <w:rPr>
          <w:rFonts w:cs="Arial"/>
          <w:b/>
          <w:szCs w:val="24"/>
        </w:rPr>
      </w:pPr>
    </w:p>
    <w:p w:rsidR="003948AB" w:rsidRPr="00067E16" w:rsidRDefault="003948AB" w:rsidP="00B61D17">
      <w:pPr>
        <w:spacing w:line="360" w:lineRule="auto"/>
        <w:jc w:val="both"/>
        <w:rPr>
          <w:rFonts w:cs="Arial"/>
          <w:b/>
          <w:szCs w:val="24"/>
        </w:rPr>
      </w:pPr>
    </w:p>
    <w:p w:rsidR="003948AB" w:rsidRPr="00067E16" w:rsidRDefault="003948AB" w:rsidP="00B61D17">
      <w:pPr>
        <w:spacing w:line="360" w:lineRule="auto"/>
        <w:jc w:val="both"/>
        <w:rPr>
          <w:rFonts w:cs="Arial"/>
          <w:b/>
          <w:szCs w:val="24"/>
        </w:rPr>
      </w:pPr>
    </w:p>
    <w:p w:rsidR="003948AB" w:rsidRPr="00067E16" w:rsidRDefault="003948AB" w:rsidP="00B61D17">
      <w:pPr>
        <w:spacing w:line="360" w:lineRule="auto"/>
        <w:jc w:val="both"/>
        <w:rPr>
          <w:rFonts w:cs="Arial"/>
          <w:b/>
          <w:szCs w:val="24"/>
        </w:rPr>
      </w:pPr>
    </w:p>
    <w:p w:rsidR="003948AB" w:rsidRPr="00067E16" w:rsidRDefault="003948AB" w:rsidP="00B61D17">
      <w:pPr>
        <w:spacing w:line="360" w:lineRule="auto"/>
        <w:jc w:val="both"/>
        <w:rPr>
          <w:rFonts w:cs="Arial"/>
          <w:b/>
          <w:szCs w:val="24"/>
        </w:rPr>
      </w:pPr>
    </w:p>
    <w:p w:rsidR="00AE1B0D" w:rsidRPr="00067E16" w:rsidRDefault="00AE1B0D" w:rsidP="00B61D17">
      <w:pPr>
        <w:spacing w:line="360" w:lineRule="auto"/>
        <w:jc w:val="both"/>
        <w:rPr>
          <w:rFonts w:cs="Arial"/>
          <w:b/>
          <w:szCs w:val="24"/>
        </w:rPr>
      </w:pPr>
    </w:p>
    <w:p w:rsidR="00AE1B0D" w:rsidRPr="00067E16" w:rsidRDefault="00AE1B0D" w:rsidP="00B61D17">
      <w:pPr>
        <w:spacing w:line="360" w:lineRule="auto"/>
        <w:jc w:val="both"/>
        <w:rPr>
          <w:rFonts w:cs="Arial"/>
          <w:b/>
          <w:szCs w:val="24"/>
        </w:rPr>
      </w:pPr>
    </w:p>
    <w:p w:rsidR="00ED05E7" w:rsidRPr="00067E16" w:rsidRDefault="00ED05E7" w:rsidP="000F100F">
      <w:pPr>
        <w:spacing w:line="360" w:lineRule="auto"/>
        <w:jc w:val="both"/>
        <w:rPr>
          <w:rFonts w:cs="Arial"/>
        </w:rPr>
      </w:pPr>
    </w:p>
    <w:p w:rsidR="00067E16" w:rsidRPr="00067E16" w:rsidRDefault="00067E16" w:rsidP="00067E16">
      <w:pPr>
        <w:spacing w:line="360" w:lineRule="auto"/>
        <w:rPr>
          <w:rFonts w:cs="Arial"/>
          <w:b/>
          <w:i/>
          <w:sz w:val="32"/>
          <w:szCs w:val="32"/>
        </w:rPr>
      </w:pPr>
      <w:r w:rsidRPr="00067E16">
        <w:rPr>
          <w:rFonts w:cs="Arial"/>
          <w:b/>
          <w:i/>
          <w:sz w:val="32"/>
          <w:szCs w:val="32"/>
        </w:rPr>
        <w:lastRenderedPageBreak/>
        <w:t>1.3 Sociální příjmy</w:t>
      </w:r>
    </w:p>
    <w:p w:rsidR="00067E16" w:rsidRPr="00067E16" w:rsidRDefault="00067E16" w:rsidP="00067E16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</w:rPr>
      </w:pPr>
    </w:p>
    <w:p w:rsidR="00067E16" w:rsidRPr="00067E16" w:rsidRDefault="00067E16" w:rsidP="00067E16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</w:rPr>
      </w:pPr>
    </w:p>
    <w:p w:rsidR="00067E16" w:rsidRPr="00067E16" w:rsidRDefault="00067E16" w:rsidP="00067E16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  <w:r w:rsidRPr="00067E16">
        <w:rPr>
          <w:rFonts w:cs="Arial"/>
          <w:b/>
        </w:rPr>
        <w:tab/>
        <w:t>Celkový objem</w:t>
      </w:r>
      <w:r w:rsidRPr="00067E16">
        <w:rPr>
          <w:rFonts w:cs="Arial"/>
        </w:rPr>
        <w:t xml:space="preserve"> sociálních příjmů (druhé nejvyšší složky peněžních příjmů domácností) </w:t>
      </w:r>
      <w:r w:rsidRPr="00067E16">
        <w:rPr>
          <w:rFonts w:cs="Arial"/>
          <w:b/>
        </w:rPr>
        <w:t>dosáhl</w:t>
      </w:r>
      <w:r w:rsidRPr="00067E16">
        <w:rPr>
          <w:rFonts w:cs="Arial"/>
        </w:rPr>
        <w:t xml:space="preserve"> v 1. čtvrtletí 2016 částky </w:t>
      </w:r>
      <w:r w:rsidRPr="00067E16">
        <w:rPr>
          <w:rFonts w:cs="Arial"/>
          <w:b/>
        </w:rPr>
        <w:t xml:space="preserve">120,8 mld. Kč </w:t>
      </w:r>
      <w:r w:rsidRPr="00067E16">
        <w:rPr>
          <w:rFonts w:cs="Arial"/>
        </w:rPr>
        <w:t xml:space="preserve">a byl </w:t>
      </w:r>
      <w:r w:rsidRPr="00067E16">
        <w:rPr>
          <w:rFonts w:cs="Arial"/>
          <w:b/>
        </w:rPr>
        <w:t>o 6,7 mld. Kč (5,9 %) vyšší</w:t>
      </w:r>
      <w:r w:rsidRPr="00067E16">
        <w:rPr>
          <w:rFonts w:cs="Arial"/>
        </w:rPr>
        <w:t xml:space="preserve"> než ve stejném období roku 2015. </w:t>
      </w:r>
      <w:r w:rsidRPr="00067E16">
        <w:rPr>
          <w:rFonts w:cs="Arial"/>
          <w:b/>
        </w:rPr>
        <w:t xml:space="preserve">Nižší </w:t>
      </w:r>
      <w:r w:rsidRPr="00067E16">
        <w:rPr>
          <w:rFonts w:cs="Arial"/>
        </w:rPr>
        <w:t xml:space="preserve">byla </w:t>
      </w:r>
      <w:r w:rsidRPr="00067E16">
        <w:rPr>
          <w:rFonts w:cs="Arial"/>
          <w:b/>
        </w:rPr>
        <w:t xml:space="preserve">výplata </w:t>
      </w:r>
      <w:r w:rsidRPr="00067E16">
        <w:rPr>
          <w:rFonts w:cs="Arial"/>
        </w:rPr>
        <w:t>dávek pomoci v hmotné nouzi</w:t>
      </w:r>
      <w:r w:rsidRPr="00067E16">
        <w:rPr>
          <w:rFonts w:cs="Arial"/>
          <w:b/>
        </w:rPr>
        <w:t xml:space="preserve"> </w:t>
      </w:r>
      <w:r w:rsidRPr="00067E16">
        <w:rPr>
          <w:rFonts w:cs="Arial"/>
        </w:rPr>
        <w:t>a podpory v nezaměstnanosti.</w:t>
      </w:r>
      <w:r w:rsidRPr="00067E16">
        <w:rPr>
          <w:rFonts w:cs="Arial"/>
          <w:b/>
        </w:rPr>
        <w:t xml:space="preserve"> </w:t>
      </w:r>
      <w:r w:rsidRPr="00067E16">
        <w:rPr>
          <w:rFonts w:cs="Arial"/>
        </w:rPr>
        <w:t xml:space="preserve">Příjmy občanů </w:t>
      </w:r>
      <w:r w:rsidRPr="00067E16">
        <w:rPr>
          <w:rFonts w:cs="Arial"/>
          <w:b/>
        </w:rPr>
        <w:t>z ostatních druhů sociálních dávek se zvýšily,</w:t>
      </w:r>
      <w:r w:rsidRPr="00067E16">
        <w:rPr>
          <w:rFonts w:cs="Arial"/>
        </w:rPr>
        <w:t xml:space="preserve"> viz tabulku č. 7 v příloze.</w:t>
      </w:r>
    </w:p>
    <w:p w:rsidR="00067E16" w:rsidRPr="00067E16" w:rsidRDefault="00067E16" w:rsidP="00067E16">
      <w:pPr>
        <w:spacing w:line="360" w:lineRule="auto"/>
        <w:jc w:val="both"/>
        <w:rPr>
          <w:noProof/>
        </w:rPr>
      </w:pPr>
    </w:p>
    <w:p w:rsidR="00067E16" w:rsidRPr="00067E16" w:rsidRDefault="00067E16" w:rsidP="00067E16">
      <w:pPr>
        <w:spacing w:line="360" w:lineRule="auto"/>
        <w:jc w:val="both"/>
        <w:rPr>
          <w:rFonts w:cs="Arial"/>
        </w:rPr>
      </w:pPr>
    </w:p>
    <w:p w:rsidR="00067E16" w:rsidRPr="00067E16" w:rsidRDefault="00067E16" w:rsidP="00067E16">
      <w:pPr>
        <w:spacing w:line="360" w:lineRule="auto"/>
        <w:jc w:val="both"/>
        <w:rPr>
          <w:rFonts w:cs="Arial"/>
        </w:rPr>
      </w:pPr>
      <w:r w:rsidRPr="00067E16">
        <w:rPr>
          <w:rFonts w:cs="Arial"/>
        </w:rPr>
        <w:tab/>
      </w:r>
      <w:r w:rsidRPr="00067E16">
        <w:rPr>
          <w:rFonts w:cs="Arial"/>
          <w:b/>
          <w:u w:val="single"/>
        </w:rPr>
        <w:t>Dávky důchodového pojištění,</w:t>
      </w:r>
      <w:r w:rsidRPr="00067E16">
        <w:rPr>
          <w:rFonts w:cs="Arial"/>
        </w:rPr>
        <w:t xml:space="preserve"> na které bylo v 1. čtvrtletí 2016 poskytnuto</w:t>
      </w:r>
      <w:r w:rsidRPr="00067E16">
        <w:rPr>
          <w:rFonts w:cs="Arial"/>
          <w:b/>
        </w:rPr>
        <w:t xml:space="preserve"> </w:t>
      </w:r>
      <w:r w:rsidRPr="00067E16">
        <w:rPr>
          <w:rFonts w:cs="Arial"/>
        </w:rPr>
        <w:t>bez dávek vyplácených do ciziny</w:t>
      </w:r>
      <w:r w:rsidRPr="00067E16">
        <w:rPr>
          <w:rFonts w:cs="Arial"/>
          <w:b/>
        </w:rPr>
        <w:t xml:space="preserve"> 93,9 mld. Kč,</w:t>
      </w:r>
      <w:r w:rsidRPr="00067E16">
        <w:rPr>
          <w:rFonts w:cs="Arial"/>
        </w:rPr>
        <w:t xml:space="preserve"> tj. </w:t>
      </w:r>
      <w:r w:rsidRPr="00067E16">
        <w:rPr>
          <w:rFonts w:cs="Arial"/>
          <w:b/>
        </w:rPr>
        <w:t>o 6,4 mld. Kč</w:t>
      </w:r>
      <w:r w:rsidRPr="00067E16">
        <w:rPr>
          <w:rFonts w:cs="Arial"/>
        </w:rPr>
        <w:t xml:space="preserve"> (</w:t>
      </w:r>
      <w:r w:rsidRPr="00067E16">
        <w:rPr>
          <w:rFonts w:cs="Arial"/>
          <w:b/>
        </w:rPr>
        <w:t>o 7,3 %</w:t>
      </w:r>
      <w:r w:rsidRPr="00067E16">
        <w:rPr>
          <w:rFonts w:cs="Arial"/>
        </w:rPr>
        <w:t xml:space="preserve">) </w:t>
      </w:r>
      <w:r w:rsidRPr="00067E16">
        <w:rPr>
          <w:rFonts w:cs="Arial"/>
          <w:b/>
        </w:rPr>
        <w:t xml:space="preserve">více </w:t>
      </w:r>
      <w:r w:rsidRPr="00067E16">
        <w:rPr>
          <w:rFonts w:cs="Arial"/>
        </w:rPr>
        <w:t>než ve srovnatelném období roku 2015, se podílely na celkové úrovni sociálních příjmů domácností 77,7 %. Výdaje související s valorizací důchodů, která proběhla v lednu 2016, činily ve sledovaném období 345,0 mil. Kč.</w:t>
      </w:r>
    </w:p>
    <w:p w:rsidR="00067E16" w:rsidRPr="00067E16" w:rsidRDefault="00067E16" w:rsidP="00067E16">
      <w:pPr>
        <w:spacing w:line="360" w:lineRule="auto"/>
        <w:jc w:val="both"/>
        <w:rPr>
          <w:rFonts w:cs="Arial"/>
        </w:rPr>
      </w:pPr>
    </w:p>
    <w:p w:rsidR="00067E16" w:rsidRPr="00067E16" w:rsidRDefault="00067E16" w:rsidP="00067E16">
      <w:pPr>
        <w:spacing w:line="360" w:lineRule="auto"/>
        <w:jc w:val="both"/>
        <w:rPr>
          <w:rFonts w:cs="Arial"/>
          <w:b/>
        </w:rPr>
      </w:pPr>
      <w:r w:rsidRPr="00067E16">
        <w:rPr>
          <w:rFonts w:cs="Arial"/>
        </w:rPr>
        <w:tab/>
      </w:r>
      <w:r w:rsidRPr="00067E16">
        <w:rPr>
          <w:rFonts w:cs="Arial"/>
          <w:b/>
        </w:rPr>
        <w:t>Výdaje na starobní důchody</w:t>
      </w:r>
      <w:r w:rsidRPr="00067E16">
        <w:rPr>
          <w:rFonts w:cs="Arial"/>
        </w:rPr>
        <w:t xml:space="preserve"> </w:t>
      </w:r>
      <w:r w:rsidRPr="00067E16">
        <w:rPr>
          <w:rFonts w:cs="Arial"/>
          <w:b/>
        </w:rPr>
        <w:t>se</w:t>
      </w:r>
      <w:r w:rsidRPr="00067E16">
        <w:rPr>
          <w:rFonts w:cs="Arial"/>
        </w:rPr>
        <w:t xml:space="preserve"> (bez dávek vyplácených do ciziny) </w:t>
      </w:r>
      <w:r w:rsidRPr="00067E16">
        <w:rPr>
          <w:rFonts w:cs="Arial"/>
          <w:b/>
        </w:rPr>
        <w:t xml:space="preserve">zvýšily </w:t>
      </w:r>
      <w:r w:rsidRPr="00067E16">
        <w:rPr>
          <w:rFonts w:cs="Arial"/>
        </w:rPr>
        <w:t xml:space="preserve">o 2,9 mld. Kč </w:t>
      </w:r>
      <w:r w:rsidRPr="00067E16">
        <w:rPr>
          <w:rFonts w:cs="Arial"/>
          <w:b/>
        </w:rPr>
        <w:t>na 74,1 mld. Kč.</w:t>
      </w:r>
      <w:r w:rsidRPr="00067E16">
        <w:rPr>
          <w:rFonts w:cs="Arial"/>
        </w:rPr>
        <w:t xml:space="preserve"> Jejich podíl na celkovém objemu výdajů na dávky důchodového pojištění dosáhl 78,9 %. </w:t>
      </w:r>
      <w:r w:rsidRPr="00067E16">
        <w:rPr>
          <w:rFonts w:cs="Arial"/>
          <w:b/>
        </w:rPr>
        <w:t>Výdaje na invalidní důchody</w:t>
      </w:r>
      <w:r w:rsidRPr="00067E16">
        <w:rPr>
          <w:rFonts w:cs="Arial"/>
        </w:rPr>
        <w:t xml:space="preserve"> zůstaly zhruba </w:t>
      </w:r>
      <w:r w:rsidRPr="00067E16">
        <w:rPr>
          <w:rFonts w:cs="Arial"/>
          <w:b/>
        </w:rPr>
        <w:t>stejné</w:t>
      </w:r>
      <w:r w:rsidRPr="00067E16">
        <w:rPr>
          <w:rFonts w:cs="Arial"/>
        </w:rPr>
        <w:t xml:space="preserve"> jako ve stejném období roku 2015, tj. </w:t>
      </w:r>
      <w:r w:rsidRPr="00067E16">
        <w:rPr>
          <w:rFonts w:cs="Arial"/>
          <w:b/>
        </w:rPr>
        <w:t xml:space="preserve">10,1 mld. Kč, </w:t>
      </w:r>
      <w:r w:rsidRPr="00067E16">
        <w:rPr>
          <w:rFonts w:cs="Arial"/>
        </w:rPr>
        <w:t>výdaje na pozůstalostní důchody vzrostly o 0,1 mld. Kč na 6,1 mld.</w:t>
      </w:r>
      <w:r w:rsidRPr="00067E16">
        <w:rPr>
          <w:rFonts w:cs="Arial"/>
          <w:b/>
        </w:rPr>
        <w:t xml:space="preserve"> </w:t>
      </w:r>
      <w:r w:rsidRPr="00067E16">
        <w:rPr>
          <w:rFonts w:cs="Arial"/>
        </w:rPr>
        <w:t>Kč.</w:t>
      </w:r>
      <w:r w:rsidRPr="00067E16">
        <w:rPr>
          <w:rFonts w:cs="Arial"/>
          <w:b/>
        </w:rPr>
        <w:t xml:space="preserve"> </w:t>
      </w:r>
      <w:r w:rsidRPr="00067E16">
        <w:rPr>
          <w:rFonts w:cs="Arial"/>
        </w:rPr>
        <w:t xml:space="preserve">Na jednorázový příspěvek, který podle zákona č. 381/2015 Sb., </w:t>
      </w:r>
      <w:r w:rsidR="00575A4A">
        <w:rPr>
          <w:rFonts w:cs="Arial"/>
        </w:rPr>
        <w:t>o</w:t>
      </w:r>
      <w:r w:rsidRPr="00067E16">
        <w:rPr>
          <w:rFonts w:cs="Arial"/>
        </w:rPr>
        <w:t xml:space="preserve"> jednorázovém příspěvku důchodci, obdržel každý důchodce v únorové výplatě důchodu, bylo vynaloženo 3,5 mld. Kč.</w:t>
      </w:r>
    </w:p>
    <w:p w:rsidR="00067E16" w:rsidRPr="00067E16" w:rsidRDefault="00067E16" w:rsidP="00067E16">
      <w:pPr>
        <w:spacing w:line="360" w:lineRule="auto"/>
        <w:jc w:val="both"/>
        <w:rPr>
          <w:rFonts w:cs="Arial"/>
        </w:rPr>
      </w:pPr>
    </w:p>
    <w:p w:rsidR="00067E16" w:rsidRPr="00067E16" w:rsidRDefault="00067E16" w:rsidP="00067E16">
      <w:pPr>
        <w:spacing w:line="360" w:lineRule="auto"/>
        <w:jc w:val="both"/>
        <w:rPr>
          <w:rFonts w:cs="Arial"/>
        </w:rPr>
      </w:pPr>
      <w:r w:rsidRPr="00067E16">
        <w:rPr>
          <w:rFonts w:cs="Arial"/>
        </w:rPr>
        <w:tab/>
        <w:t xml:space="preserve">Průměrná výše (samostatně vypláceného) starobního </w:t>
      </w:r>
      <w:r w:rsidRPr="00067E16">
        <w:rPr>
          <w:rFonts w:cs="Arial"/>
          <w:b/>
          <w:bCs/>
        </w:rPr>
        <w:t xml:space="preserve">důchodu se v 1. čtvrtletí 2016 meziročně zvýšila </w:t>
      </w:r>
      <w:r w:rsidRPr="00067E16">
        <w:rPr>
          <w:rFonts w:cs="Arial"/>
        </w:rPr>
        <w:t>o 109 Kč (</w:t>
      </w:r>
      <w:r w:rsidRPr="00067E16">
        <w:rPr>
          <w:rFonts w:cs="Arial"/>
          <w:b/>
          <w:bCs/>
        </w:rPr>
        <w:t>o 1,0 %</w:t>
      </w:r>
      <w:r w:rsidRPr="00067E16">
        <w:rPr>
          <w:rFonts w:cs="Arial"/>
        </w:rPr>
        <w:t xml:space="preserve">) </w:t>
      </w:r>
      <w:r w:rsidRPr="00067E16">
        <w:rPr>
          <w:rFonts w:cs="Arial"/>
          <w:b/>
          <w:bCs/>
        </w:rPr>
        <w:t>na 11 409 Kč,</w:t>
      </w:r>
      <w:r w:rsidRPr="00067E16">
        <w:rPr>
          <w:rFonts w:cs="Arial"/>
        </w:rPr>
        <w:t xml:space="preserve"> </w:t>
      </w:r>
      <w:r w:rsidRPr="00067E16">
        <w:rPr>
          <w:rFonts w:cs="Arial"/>
          <w:b/>
          <w:bCs/>
        </w:rPr>
        <w:t>v reálném vyjádření</w:t>
      </w:r>
      <w:r w:rsidRPr="00067E16">
        <w:rPr>
          <w:rFonts w:cs="Arial"/>
        </w:rPr>
        <w:t xml:space="preserve"> se zvýšila </w:t>
      </w:r>
      <w:r w:rsidRPr="00067E16">
        <w:rPr>
          <w:rFonts w:cs="Arial"/>
          <w:b/>
        </w:rPr>
        <w:t>o 0,5 %</w:t>
      </w:r>
      <w:r w:rsidRPr="00067E16">
        <w:rPr>
          <w:rFonts w:cs="Arial"/>
        </w:rPr>
        <w:t xml:space="preserve"> (při použití indexu životních nákladů domácností důchodců 100,5 %).</w:t>
      </w:r>
    </w:p>
    <w:p w:rsidR="00067E16" w:rsidRPr="00067E16" w:rsidRDefault="00067E16" w:rsidP="00067E16">
      <w:pPr>
        <w:spacing w:line="360" w:lineRule="auto"/>
        <w:jc w:val="both"/>
        <w:rPr>
          <w:rFonts w:cs="Arial"/>
        </w:rPr>
      </w:pPr>
    </w:p>
    <w:p w:rsidR="00067E16" w:rsidRPr="00067E16" w:rsidRDefault="00067E16" w:rsidP="00067E16">
      <w:pPr>
        <w:spacing w:line="360" w:lineRule="auto"/>
        <w:jc w:val="both"/>
        <w:rPr>
          <w:rFonts w:cs="Arial"/>
        </w:rPr>
      </w:pPr>
    </w:p>
    <w:p w:rsidR="00067E16" w:rsidRPr="00067E16" w:rsidRDefault="00067E16" w:rsidP="00067E16">
      <w:pPr>
        <w:spacing w:line="360" w:lineRule="auto"/>
        <w:jc w:val="both"/>
        <w:rPr>
          <w:rFonts w:cs="Arial"/>
        </w:rPr>
      </w:pPr>
    </w:p>
    <w:p w:rsidR="00067E16" w:rsidRPr="00067E16" w:rsidRDefault="00067E16" w:rsidP="00067E16">
      <w:pPr>
        <w:spacing w:line="360" w:lineRule="auto"/>
        <w:jc w:val="both"/>
        <w:rPr>
          <w:rFonts w:cs="Arial"/>
        </w:rPr>
      </w:pPr>
    </w:p>
    <w:p w:rsidR="00067E16" w:rsidRPr="00067E16" w:rsidRDefault="00067E16" w:rsidP="00067E16">
      <w:pPr>
        <w:spacing w:line="360" w:lineRule="auto"/>
        <w:jc w:val="both"/>
        <w:rPr>
          <w:rFonts w:cs="Arial"/>
        </w:rPr>
      </w:pPr>
    </w:p>
    <w:p w:rsidR="00067E16" w:rsidRPr="00067E16" w:rsidRDefault="00067E16" w:rsidP="00067E16">
      <w:pPr>
        <w:spacing w:after="240"/>
        <w:ind w:firstLine="708"/>
        <w:jc w:val="both"/>
        <w:rPr>
          <w:rFonts w:cs="Arial"/>
          <w:b/>
        </w:rPr>
      </w:pPr>
      <w:r w:rsidRPr="00067E16">
        <w:rPr>
          <w:rFonts w:cs="Arial"/>
          <w:b/>
        </w:rPr>
        <w:lastRenderedPageBreak/>
        <w:t>V březnu 2016</w:t>
      </w:r>
    </w:p>
    <w:p w:rsidR="00067E16" w:rsidRPr="00067E16" w:rsidRDefault="00067E16" w:rsidP="00067E16">
      <w:pPr>
        <w:numPr>
          <w:ilvl w:val="0"/>
          <w:numId w:val="17"/>
        </w:numPr>
        <w:spacing w:after="240"/>
        <w:jc w:val="both"/>
        <w:rPr>
          <w:rFonts w:cs="Arial"/>
        </w:rPr>
      </w:pPr>
      <w:r w:rsidRPr="00067E16">
        <w:rPr>
          <w:rFonts w:cs="Arial"/>
        </w:rPr>
        <w:t xml:space="preserve">pobíralo důchod </w:t>
      </w:r>
      <w:r w:rsidRPr="00067E16">
        <w:rPr>
          <w:rFonts w:cs="Arial"/>
          <w:b/>
        </w:rPr>
        <w:t xml:space="preserve">2 882,2 tis. osob, </w:t>
      </w:r>
      <w:r w:rsidRPr="00067E16">
        <w:rPr>
          <w:rFonts w:cs="Arial"/>
        </w:rPr>
        <w:t>přičemž</w:t>
      </w:r>
      <w:r w:rsidRPr="00067E16">
        <w:rPr>
          <w:rFonts w:cs="Arial"/>
          <w:b/>
        </w:rPr>
        <w:t xml:space="preserve"> jejich počet</w:t>
      </w:r>
      <w:r w:rsidRPr="00067E16">
        <w:rPr>
          <w:rFonts w:cs="Arial"/>
        </w:rPr>
        <w:t xml:space="preserve"> se meziročně </w:t>
      </w:r>
      <w:r w:rsidRPr="00067E16">
        <w:rPr>
          <w:rFonts w:cs="Arial"/>
          <w:b/>
        </w:rPr>
        <w:t xml:space="preserve">zvýšil </w:t>
      </w:r>
      <w:r w:rsidRPr="00067E16">
        <w:rPr>
          <w:rFonts w:cs="Arial"/>
        </w:rPr>
        <w:t xml:space="preserve">o </w:t>
      </w:r>
      <w:r w:rsidR="00957694">
        <w:rPr>
          <w:rFonts w:cs="Arial"/>
        </w:rPr>
        <w:t>11</w:t>
      </w:r>
      <w:r w:rsidRPr="00067E16">
        <w:rPr>
          <w:rFonts w:cs="Arial"/>
        </w:rPr>
        <w:t>,1 tis.</w:t>
      </w:r>
      <w:r w:rsidRPr="00067E16">
        <w:rPr>
          <w:rFonts w:cs="Arial"/>
          <w:b/>
        </w:rPr>
        <w:t xml:space="preserve"> </w:t>
      </w:r>
      <w:r w:rsidRPr="00067E16">
        <w:rPr>
          <w:rFonts w:cs="Arial"/>
        </w:rPr>
        <w:t xml:space="preserve">(tj. </w:t>
      </w:r>
      <w:r w:rsidRPr="00067E16">
        <w:rPr>
          <w:rFonts w:cs="Arial"/>
          <w:b/>
        </w:rPr>
        <w:t>o 0,</w:t>
      </w:r>
      <w:r w:rsidR="00957694">
        <w:rPr>
          <w:rFonts w:cs="Arial"/>
          <w:b/>
        </w:rPr>
        <w:t>4</w:t>
      </w:r>
      <w:r w:rsidRPr="00067E16">
        <w:rPr>
          <w:rFonts w:cs="Arial"/>
          <w:b/>
        </w:rPr>
        <w:t> %</w:t>
      </w:r>
      <w:r w:rsidRPr="00067E16">
        <w:rPr>
          <w:rFonts w:cs="Arial"/>
        </w:rPr>
        <w:t xml:space="preserve">). </w:t>
      </w:r>
      <w:r w:rsidRPr="00067E16">
        <w:rPr>
          <w:rFonts w:cs="Arial"/>
          <w:b/>
        </w:rPr>
        <w:t>Počet</w:t>
      </w:r>
      <w:r w:rsidRPr="00067E16">
        <w:rPr>
          <w:rFonts w:cs="Arial"/>
        </w:rPr>
        <w:t xml:space="preserve"> </w:t>
      </w:r>
      <w:r w:rsidRPr="00067E16">
        <w:rPr>
          <w:rFonts w:cs="Arial"/>
          <w:b/>
        </w:rPr>
        <w:t xml:space="preserve">důchodců se starobním důchodem </w:t>
      </w:r>
      <w:r w:rsidRPr="00067E16">
        <w:rPr>
          <w:rFonts w:cs="Arial"/>
        </w:rPr>
        <w:t xml:space="preserve">(včetně poměrného starobního) byl </w:t>
      </w:r>
      <w:r w:rsidRPr="00067E16">
        <w:rPr>
          <w:rFonts w:cs="Arial"/>
          <w:b/>
        </w:rPr>
        <w:t xml:space="preserve">2 376,7 tis. </w:t>
      </w:r>
      <w:r w:rsidRPr="00067E16">
        <w:rPr>
          <w:rFonts w:cs="Arial"/>
        </w:rPr>
        <w:t xml:space="preserve">(o </w:t>
      </w:r>
      <w:r w:rsidR="00957694">
        <w:rPr>
          <w:rFonts w:cs="Arial"/>
        </w:rPr>
        <w:t>19</w:t>
      </w:r>
      <w:r w:rsidRPr="00067E16">
        <w:rPr>
          <w:rFonts w:cs="Arial"/>
        </w:rPr>
        <w:t>,</w:t>
      </w:r>
      <w:r w:rsidR="00957694">
        <w:rPr>
          <w:rFonts w:cs="Arial"/>
        </w:rPr>
        <w:t>1</w:t>
      </w:r>
      <w:r w:rsidRPr="00067E16">
        <w:rPr>
          <w:rFonts w:cs="Arial"/>
        </w:rPr>
        <w:t> tis. vyšší než v březnu 2015),</w:t>
      </w:r>
      <w:r w:rsidRPr="00067E16">
        <w:rPr>
          <w:rFonts w:cs="Arial"/>
          <w:b/>
        </w:rPr>
        <w:t xml:space="preserve"> </w:t>
      </w:r>
      <w:r w:rsidRPr="00067E16">
        <w:rPr>
          <w:rFonts w:cs="Arial"/>
        </w:rPr>
        <w:t xml:space="preserve">v rámci této skupiny důchodců činil počet osob </w:t>
      </w:r>
      <w:r w:rsidRPr="00067E16">
        <w:rPr>
          <w:rFonts w:cs="Arial"/>
          <w:b/>
        </w:rPr>
        <w:t>s trvale kráceným důchodem 589,1 tis</w:t>
      </w:r>
      <w:r w:rsidRPr="00AD41B4">
        <w:rPr>
          <w:rFonts w:cs="Arial"/>
          <w:b/>
        </w:rPr>
        <w:t>.</w:t>
      </w:r>
      <w:r w:rsidRPr="00067E16">
        <w:rPr>
          <w:rFonts w:cs="Arial"/>
        </w:rPr>
        <w:t xml:space="preserve"> (oproti stejnému období předchozího roku se zvýšil o </w:t>
      </w:r>
      <w:r w:rsidR="00957694">
        <w:rPr>
          <w:rFonts w:cs="Arial"/>
        </w:rPr>
        <w:t>19</w:t>
      </w:r>
      <w:r w:rsidRPr="00067E16">
        <w:rPr>
          <w:rFonts w:cs="Arial"/>
        </w:rPr>
        <w:t>,</w:t>
      </w:r>
      <w:r w:rsidR="00957694">
        <w:rPr>
          <w:rFonts w:cs="Arial"/>
        </w:rPr>
        <w:t>5</w:t>
      </w:r>
      <w:r w:rsidRPr="00067E16">
        <w:rPr>
          <w:rFonts w:cs="Arial"/>
        </w:rPr>
        <w:t xml:space="preserve"> tis., tj.</w:t>
      </w:r>
      <w:r w:rsidR="00957694">
        <w:rPr>
          <w:rFonts w:cs="Arial"/>
        </w:rPr>
        <w:t> </w:t>
      </w:r>
      <w:r w:rsidRPr="00067E16">
        <w:rPr>
          <w:rFonts w:cs="Arial"/>
        </w:rPr>
        <w:t>o</w:t>
      </w:r>
      <w:r w:rsidR="00957694">
        <w:rPr>
          <w:rFonts w:cs="Arial"/>
        </w:rPr>
        <w:t> </w:t>
      </w:r>
      <w:r w:rsidRPr="00067E16">
        <w:rPr>
          <w:rFonts w:cs="Arial"/>
        </w:rPr>
        <w:t>3,</w:t>
      </w:r>
      <w:r w:rsidR="00957694">
        <w:rPr>
          <w:rFonts w:cs="Arial"/>
        </w:rPr>
        <w:t>4</w:t>
      </w:r>
      <w:r w:rsidRPr="00067E16">
        <w:rPr>
          <w:rFonts w:cs="Arial"/>
        </w:rPr>
        <w:t xml:space="preserve"> %). Počty příjemců invalidního důchodu se meziročně </w:t>
      </w:r>
      <w:r w:rsidR="00957694">
        <w:rPr>
          <w:rFonts w:cs="Arial"/>
        </w:rPr>
        <w:t>snížily</w:t>
      </w:r>
      <w:r w:rsidRPr="00067E16">
        <w:rPr>
          <w:rFonts w:cs="Arial"/>
        </w:rPr>
        <w:t xml:space="preserve"> o 3,</w:t>
      </w:r>
      <w:r w:rsidR="00957694">
        <w:rPr>
          <w:rFonts w:cs="Arial"/>
        </w:rPr>
        <w:t>8</w:t>
      </w:r>
      <w:r w:rsidR="00AD41B4">
        <w:rPr>
          <w:rFonts w:cs="Arial"/>
        </w:rPr>
        <w:t xml:space="preserve"> </w:t>
      </w:r>
      <w:r w:rsidRPr="00067E16">
        <w:rPr>
          <w:rFonts w:cs="Arial"/>
        </w:rPr>
        <w:t>tis. (o 0,</w:t>
      </w:r>
      <w:r w:rsidR="00957694">
        <w:rPr>
          <w:rFonts w:cs="Arial"/>
        </w:rPr>
        <w:t>9</w:t>
      </w:r>
      <w:r w:rsidRPr="00067E16">
        <w:rPr>
          <w:rFonts w:cs="Arial"/>
        </w:rPr>
        <w:t> %), počty příjemců pozůstalostních důchodů se snížily, a to vdovského a vdoveckého o 2,</w:t>
      </w:r>
      <w:r w:rsidR="00957694">
        <w:rPr>
          <w:rFonts w:cs="Arial"/>
        </w:rPr>
        <w:t>5</w:t>
      </w:r>
      <w:r w:rsidRPr="00067E16">
        <w:rPr>
          <w:rFonts w:cs="Arial"/>
        </w:rPr>
        <w:t> tis. (o </w:t>
      </w:r>
      <w:r w:rsidR="00957694">
        <w:rPr>
          <w:rFonts w:cs="Arial"/>
        </w:rPr>
        <w:t>7</w:t>
      </w:r>
      <w:r w:rsidRPr="00067E16">
        <w:rPr>
          <w:rFonts w:cs="Arial"/>
        </w:rPr>
        <w:t>,</w:t>
      </w:r>
      <w:r w:rsidR="00957694">
        <w:rPr>
          <w:rFonts w:cs="Arial"/>
        </w:rPr>
        <w:t>0</w:t>
      </w:r>
      <w:r w:rsidRPr="00067E16">
        <w:rPr>
          <w:rFonts w:cs="Arial"/>
        </w:rPr>
        <w:t> %) a sirotčího o 1,</w:t>
      </w:r>
      <w:r w:rsidR="00957694">
        <w:rPr>
          <w:rFonts w:cs="Arial"/>
        </w:rPr>
        <w:t>7</w:t>
      </w:r>
      <w:r w:rsidRPr="00067E16">
        <w:rPr>
          <w:rFonts w:cs="Arial"/>
        </w:rPr>
        <w:t> tis. (o 3,</w:t>
      </w:r>
      <w:r w:rsidR="00957694">
        <w:rPr>
          <w:rFonts w:cs="Arial"/>
        </w:rPr>
        <w:t>9</w:t>
      </w:r>
      <w:r w:rsidRPr="00067E16">
        <w:rPr>
          <w:rFonts w:cs="Arial"/>
        </w:rPr>
        <w:t xml:space="preserve"> %) – viz tabulku č. 8 v příloze,</w:t>
      </w:r>
      <w:bookmarkStart w:id="0" w:name="_GoBack"/>
      <w:bookmarkEnd w:id="0"/>
    </w:p>
    <w:p w:rsidR="00067E16" w:rsidRPr="00067E16" w:rsidRDefault="00067E16" w:rsidP="00067E16">
      <w:pPr>
        <w:numPr>
          <w:ilvl w:val="0"/>
          <w:numId w:val="17"/>
        </w:numPr>
        <w:spacing w:after="240"/>
        <w:jc w:val="both"/>
        <w:rPr>
          <w:rFonts w:cs="Arial"/>
        </w:rPr>
      </w:pPr>
      <w:r w:rsidRPr="00067E16">
        <w:rPr>
          <w:rFonts w:cs="Arial"/>
          <w:b/>
        </w:rPr>
        <w:t xml:space="preserve">průměrný </w:t>
      </w:r>
      <w:r w:rsidRPr="00067E16">
        <w:rPr>
          <w:rFonts w:cs="Arial"/>
        </w:rPr>
        <w:t xml:space="preserve">nominální </w:t>
      </w:r>
      <w:r w:rsidRPr="00067E16">
        <w:rPr>
          <w:rFonts w:cs="Arial"/>
          <w:b/>
        </w:rPr>
        <w:t xml:space="preserve">starobní důchod </w:t>
      </w:r>
      <w:r w:rsidRPr="00067E16">
        <w:rPr>
          <w:rFonts w:cs="Arial"/>
        </w:rPr>
        <w:t xml:space="preserve">(vyplácený samostatně) </w:t>
      </w:r>
      <w:r w:rsidRPr="00067E16">
        <w:rPr>
          <w:rFonts w:cs="Arial"/>
          <w:b/>
        </w:rPr>
        <w:t xml:space="preserve">dosáhl 11 415 Kč </w:t>
      </w:r>
      <w:r w:rsidRPr="00067E16">
        <w:rPr>
          <w:rFonts w:cs="Arial"/>
        </w:rPr>
        <w:t>a</w:t>
      </w:r>
      <w:r w:rsidRPr="00067E16">
        <w:rPr>
          <w:rFonts w:cs="Arial"/>
          <w:b/>
        </w:rPr>
        <w:t xml:space="preserve"> převýšil</w:t>
      </w:r>
      <w:r w:rsidRPr="00067E16">
        <w:rPr>
          <w:rFonts w:cs="Arial"/>
        </w:rPr>
        <w:t xml:space="preserve"> o 1</w:t>
      </w:r>
      <w:r w:rsidR="00957694">
        <w:rPr>
          <w:rFonts w:cs="Arial"/>
        </w:rPr>
        <w:t>11</w:t>
      </w:r>
      <w:r w:rsidRPr="00067E16">
        <w:rPr>
          <w:rFonts w:cs="Arial"/>
        </w:rPr>
        <w:t xml:space="preserve"> Kč (tj. </w:t>
      </w:r>
      <w:r w:rsidRPr="00067E16">
        <w:rPr>
          <w:rFonts w:cs="Arial"/>
          <w:b/>
        </w:rPr>
        <w:t>o 1,0 %</w:t>
      </w:r>
      <w:r w:rsidRPr="00067E16">
        <w:rPr>
          <w:rFonts w:cs="Arial"/>
        </w:rPr>
        <w:t xml:space="preserve">) skutečnost stejného měsíce roku 2015 (tabulka č. 8). U </w:t>
      </w:r>
      <w:r w:rsidRPr="00067E16">
        <w:rPr>
          <w:rFonts w:cs="Arial"/>
          <w:b/>
        </w:rPr>
        <w:t>žen</w:t>
      </w:r>
      <w:r w:rsidRPr="00067E16">
        <w:rPr>
          <w:rFonts w:cs="Arial"/>
        </w:rPr>
        <w:t xml:space="preserve"> činil 10 365 Kč, čímž představoval </w:t>
      </w:r>
      <w:r w:rsidRPr="00067E16">
        <w:rPr>
          <w:rFonts w:cs="Arial"/>
          <w:b/>
        </w:rPr>
        <w:t>82,2 %</w:t>
      </w:r>
      <w:r w:rsidRPr="00067E16">
        <w:rPr>
          <w:rFonts w:cs="Arial"/>
        </w:rPr>
        <w:t xml:space="preserve"> </w:t>
      </w:r>
      <w:r w:rsidRPr="00067E16">
        <w:rPr>
          <w:rFonts w:cs="Arial"/>
          <w:b/>
        </w:rPr>
        <w:t>průměrného důchodu mužů</w:t>
      </w:r>
      <w:r w:rsidRPr="00067E16">
        <w:rPr>
          <w:rFonts w:cs="Arial"/>
        </w:rPr>
        <w:t xml:space="preserve"> (12 617 Kč). Průměrná výše trvale kráceného důchodu byla oproti průměrnému starobnímu důchodu o 1 238 Kč nižší a</w:t>
      </w:r>
      <w:r w:rsidR="00F36320">
        <w:rPr>
          <w:rFonts w:cs="Arial"/>
        </w:rPr>
        <w:t> </w:t>
      </w:r>
      <w:r w:rsidRPr="00067E16">
        <w:rPr>
          <w:rFonts w:cs="Arial"/>
        </w:rPr>
        <w:t xml:space="preserve"> dosáhla 10 177 Kč (o </w:t>
      </w:r>
      <w:r w:rsidR="00957694">
        <w:rPr>
          <w:rFonts w:cs="Arial"/>
        </w:rPr>
        <w:t>91</w:t>
      </w:r>
      <w:r w:rsidRPr="00067E16">
        <w:rPr>
          <w:rFonts w:cs="Arial"/>
        </w:rPr>
        <w:t> Kč více než ve srovnatelném období předchozího roku), z toho u mužů 11 311 Kč a u žen 9 206 Kč.</w:t>
      </w:r>
    </w:p>
    <w:p w:rsidR="00067E16" w:rsidRPr="00067E16" w:rsidRDefault="00067E16" w:rsidP="00067E16">
      <w:pPr>
        <w:spacing w:line="360" w:lineRule="auto"/>
        <w:jc w:val="both"/>
        <w:rPr>
          <w:rFonts w:cs="Arial"/>
        </w:rPr>
      </w:pPr>
    </w:p>
    <w:p w:rsidR="00067E16" w:rsidRPr="00067E16" w:rsidRDefault="00067E16" w:rsidP="00067E16">
      <w:pPr>
        <w:spacing w:line="360" w:lineRule="auto"/>
        <w:jc w:val="both"/>
        <w:rPr>
          <w:rFonts w:cs="Arial"/>
        </w:rPr>
      </w:pPr>
    </w:p>
    <w:p w:rsidR="00067E16" w:rsidRPr="00067E16" w:rsidRDefault="00067E16" w:rsidP="00067E16">
      <w:pPr>
        <w:spacing w:line="360" w:lineRule="auto"/>
        <w:jc w:val="both"/>
        <w:rPr>
          <w:rFonts w:cs="Arial"/>
        </w:rPr>
      </w:pPr>
      <w:r w:rsidRPr="00067E16">
        <w:rPr>
          <w:rFonts w:cs="Arial"/>
        </w:rPr>
        <w:tab/>
        <w:t xml:space="preserve">Na </w:t>
      </w:r>
      <w:r w:rsidRPr="00067E16">
        <w:rPr>
          <w:rFonts w:cs="Arial"/>
          <w:b/>
          <w:bCs/>
          <w:u w:val="single"/>
        </w:rPr>
        <w:t>dávkách státní sociální podpory a dávkách pěstounské péče</w:t>
      </w:r>
      <w:r w:rsidRPr="00067E16">
        <w:rPr>
          <w:rFonts w:cs="Arial"/>
          <w:b/>
          <w:bCs/>
        </w:rPr>
        <w:t xml:space="preserve"> </w:t>
      </w:r>
      <w:r w:rsidRPr="00067E16">
        <w:rPr>
          <w:rFonts w:cs="Arial"/>
        </w:rPr>
        <w:t xml:space="preserve">bylo v 1. čtvrtletí 2016 </w:t>
      </w:r>
      <w:r w:rsidRPr="00067E16">
        <w:rPr>
          <w:rFonts w:cs="Arial"/>
          <w:b/>
          <w:bCs/>
        </w:rPr>
        <w:t xml:space="preserve">vyplaceno 9,5 mld. Kč </w:t>
      </w:r>
      <w:r w:rsidRPr="00067E16">
        <w:rPr>
          <w:rFonts w:cs="Arial"/>
        </w:rPr>
        <w:t xml:space="preserve">a zůstaly tak nadále druhou nejvýznamnější složkou sociálních příjmů domácností. V hodnoceném období bylo touto formou vyplaceno meziročně </w:t>
      </w:r>
      <w:r w:rsidRPr="00067E16">
        <w:rPr>
          <w:rFonts w:cs="Arial"/>
          <w:b/>
        </w:rPr>
        <w:t xml:space="preserve">o 80,8 mil. Kč </w:t>
      </w:r>
      <w:r w:rsidRPr="00067E16">
        <w:rPr>
          <w:rFonts w:cs="Arial"/>
        </w:rPr>
        <w:t>(</w:t>
      </w:r>
      <w:r w:rsidRPr="00067E16">
        <w:rPr>
          <w:rFonts w:cs="Arial"/>
          <w:b/>
        </w:rPr>
        <w:t>o 0,9 %</w:t>
      </w:r>
      <w:r w:rsidRPr="00067E16">
        <w:rPr>
          <w:rFonts w:cs="Arial"/>
        </w:rPr>
        <w:t xml:space="preserve">) </w:t>
      </w:r>
      <w:r w:rsidRPr="00067E16">
        <w:rPr>
          <w:rFonts w:cs="Arial"/>
          <w:b/>
        </w:rPr>
        <w:t>více</w:t>
      </w:r>
      <w:r w:rsidRPr="00067E16">
        <w:rPr>
          <w:rFonts w:cs="Arial"/>
        </w:rPr>
        <w:t xml:space="preserve"> finančních prostředků než ve stejném období předchozího roku – viz tabulku č. 7 v příloze.</w:t>
      </w:r>
    </w:p>
    <w:p w:rsidR="00067E16" w:rsidRPr="00067E16" w:rsidRDefault="00067E16" w:rsidP="00067E16">
      <w:pPr>
        <w:spacing w:line="360" w:lineRule="auto"/>
        <w:jc w:val="both"/>
        <w:rPr>
          <w:rFonts w:cs="Arial"/>
        </w:rPr>
      </w:pPr>
    </w:p>
    <w:p w:rsidR="00067E16" w:rsidRPr="00067E16" w:rsidRDefault="00067E16" w:rsidP="00067E16">
      <w:pPr>
        <w:spacing w:line="360" w:lineRule="auto"/>
        <w:jc w:val="both"/>
        <w:rPr>
          <w:rFonts w:cs="Arial"/>
        </w:rPr>
      </w:pPr>
      <w:r w:rsidRPr="00067E16">
        <w:rPr>
          <w:rFonts w:cs="Arial"/>
        </w:rPr>
        <w:tab/>
      </w:r>
      <w:r w:rsidRPr="00067E16">
        <w:rPr>
          <w:rFonts w:cs="Arial"/>
          <w:b/>
        </w:rPr>
        <w:t>Výdaje na</w:t>
      </w:r>
      <w:r w:rsidRPr="00067E16">
        <w:rPr>
          <w:rFonts w:cs="Arial"/>
        </w:rPr>
        <w:t xml:space="preserve"> rozhodující dávku tohoto systému </w:t>
      </w:r>
      <w:r w:rsidRPr="00067E16">
        <w:rPr>
          <w:rFonts w:cs="Arial"/>
          <w:b/>
          <w:bCs/>
        </w:rPr>
        <w:t>– rodičovský příspěvek se zvýšily</w:t>
      </w:r>
      <w:r w:rsidRPr="00067E16">
        <w:rPr>
          <w:rFonts w:cs="Arial"/>
          <w:bCs/>
        </w:rPr>
        <w:t xml:space="preserve"> o 34,4 mil. Kč (</w:t>
      </w:r>
      <w:r w:rsidRPr="00067E16">
        <w:rPr>
          <w:rFonts w:cs="Arial"/>
          <w:b/>
          <w:bCs/>
        </w:rPr>
        <w:t>o 0,6 %</w:t>
      </w:r>
      <w:r w:rsidRPr="00067E16">
        <w:rPr>
          <w:rFonts w:cs="Arial"/>
          <w:bCs/>
        </w:rPr>
        <w:t>)</w:t>
      </w:r>
      <w:r w:rsidRPr="00067E16">
        <w:rPr>
          <w:rFonts w:cs="Arial"/>
          <w:b/>
          <w:bCs/>
        </w:rPr>
        <w:t xml:space="preserve"> </w:t>
      </w:r>
      <w:r w:rsidRPr="00067E16">
        <w:rPr>
          <w:rFonts w:cs="Arial"/>
          <w:bCs/>
        </w:rPr>
        <w:t>na</w:t>
      </w:r>
      <w:r w:rsidRPr="00067E16">
        <w:rPr>
          <w:rFonts w:cs="Arial"/>
        </w:rPr>
        <w:t xml:space="preserve"> 5,6 </w:t>
      </w:r>
      <w:r w:rsidRPr="00067E16">
        <w:rPr>
          <w:rFonts w:cs="Arial"/>
          <w:bCs/>
        </w:rPr>
        <w:t>mld. Kč.</w:t>
      </w:r>
      <w:r w:rsidRPr="00067E16">
        <w:rPr>
          <w:rFonts w:cs="Arial"/>
        </w:rPr>
        <w:t xml:space="preserve"> Průměrný počet měsíčně vyplácených rodičovských příspěvků se zvýšil rovněž o 0,6 %, tj. o 1,6 tis. na 278,3 tis. </w:t>
      </w:r>
    </w:p>
    <w:p w:rsidR="00067E16" w:rsidRPr="00067E16" w:rsidRDefault="00067E16" w:rsidP="00067E16">
      <w:pPr>
        <w:spacing w:line="360" w:lineRule="auto"/>
        <w:jc w:val="both"/>
        <w:rPr>
          <w:rFonts w:cs="Arial"/>
        </w:rPr>
      </w:pPr>
    </w:p>
    <w:p w:rsidR="00067E16" w:rsidRPr="00067E16" w:rsidRDefault="00067E16" w:rsidP="00067E16">
      <w:pPr>
        <w:spacing w:line="360" w:lineRule="auto"/>
        <w:jc w:val="both"/>
        <w:rPr>
          <w:rFonts w:cs="Arial"/>
        </w:rPr>
      </w:pPr>
      <w:r w:rsidRPr="00067E16">
        <w:rPr>
          <w:rFonts w:cs="Arial"/>
        </w:rPr>
        <w:tab/>
      </w:r>
      <w:r w:rsidRPr="00067E16">
        <w:rPr>
          <w:rFonts w:cs="Arial"/>
          <w:b/>
        </w:rPr>
        <w:t>Na</w:t>
      </w:r>
      <w:r w:rsidRPr="00067E16">
        <w:rPr>
          <w:rFonts w:cs="Arial"/>
        </w:rPr>
        <w:t xml:space="preserve"> </w:t>
      </w:r>
      <w:r w:rsidRPr="00067E16">
        <w:rPr>
          <w:rFonts w:cs="Arial"/>
          <w:b/>
          <w:bCs/>
        </w:rPr>
        <w:t xml:space="preserve">příspěvek na bydlení </w:t>
      </w:r>
      <w:r w:rsidRPr="00067E16">
        <w:rPr>
          <w:rFonts w:cs="Arial"/>
        </w:rPr>
        <w:t>bylo vynaloženo ve sledovaném období 2,3 </w:t>
      </w:r>
      <w:r w:rsidRPr="00067E16">
        <w:rPr>
          <w:rFonts w:cs="Arial"/>
          <w:bCs/>
        </w:rPr>
        <w:t>mld. Kč, tj.</w:t>
      </w:r>
      <w:r w:rsidRPr="00067E16">
        <w:rPr>
          <w:rFonts w:cs="Arial"/>
          <w:b/>
          <w:bCs/>
        </w:rPr>
        <w:t xml:space="preserve"> </w:t>
      </w:r>
      <w:r w:rsidRPr="00067E16">
        <w:rPr>
          <w:rFonts w:cs="Arial"/>
          <w:b/>
        </w:rPr>
        <w:t>o 1,6 %</w:t>
      </w:r>
      <w:r w:rsidRPr="00067E16">
        <w:rPr>
          <w:rFonts w:cs="Arial"/>
        </w:rPr>
        <w:t xml:space="preserve"> (o 37,5 mil. Kč) </w:t>
      </w:r>
      <w:r w:rsidRPr="00067E16">
        <w:rPr>
          <w:rFonts w:cs="Arial"/>
          <w:b/>
        </w:rPr>
        <w:t>více</w:t>
      </w:r>
      <w:r w:rsidRPr="00067E16">
        <w:rPr>
          <w:rFonts w:cs="Arial"/>
        </w:rPr>
        <w:t xml:space="preserve"> při nižším počtu v průměru měsíčně vyplácených dávek (o 1,8 %, tj. o  4,0 tis.) na 228,4 tis., jejichž </w:t>
      </w:r>
      <w:r w:rsidRPr="00067E16">
        <w:rPr>
          <w:rFonts w:cs="Arial"/>
          <w:bCs/>
        </w:rPr>
        <w:t>průměrná výše vzrostla</w:t>
      </w:r>
      <w:r w:rsidRPr="00067E16">
        <w:rPr>
          <w:rFonts w:cs="Arial"/>
        </w:rPr>
        <w:t xml:space="preserve"> z 3 377</w:t>
      </w:r>
      <w:r w:rsidRPr="00067E16">
        <w:rPr>
          <w:rFonts w:cs="Arial"/>
          <w:bCs/>
        </w:rPr>
        <w:t xml:space="preserve"> Kč</w:t>
      </w:r>
      <w:r w:rsidRPr="00067E16">
        <w:rPr>
          <w:rFonts w:cs="Arial"/>
        </w:rPr>
        <w:t xml:space="preserve"> na 3 493 Kč – viz tabulku č. 12 v příloze.</w:t>
      </w:r>
    </w:p>
    <w:p w:rsidR="00067E16" w:rsidRPr="00067E16" w:rsidRDefault="00067E16" w:rsidP="00067E16">
      <w:pPr>
        <w:spacing w:line="360" w:lineRule="auto"/>
        <w:jc w:val="both"/>
        <w:rPr>
          <w:rFonts w:cs="Arial"/>
        </w:rPr>
      </w:pPr>
    </w:p>
    <w:p w:rsidR="00067E16" w:rsidRPr="00067E16" w:rsidRDefault="00067E16" w:rsidP="00067E16">
      <w:pPr>
        <w:spacing w:line="360" w:lineRule="auto"/>
        <w:jc w:val="both"/>
        <w:rPr>
          <w:rFonts w:cs="Arial"/>
          <w:b/>
          <w:bCs/>
        </w:rPr>
      </w:pPr>
      <w:r w:rsidRPr="00067E16">
        <w:rPr>
          <w:rFonts w:cs="Arial"/>
        </w:rPr>
        <w:tab/>
        <w:t xml:space="preserve">Formou </w:t>
      </w:r>
      <w:r w:rsidRPr="00067E16">
        <w:rPr>
          <w:rFonts w:cs="Arial"/>
          <w:b/>
          <w:bCs/>
        </w:rPr>
        <w:t xml:space="preserve">přídavku na dítě </w:t>
      </w:r>
      <w:r w:rsidRPr="00067E16">
        <w:rPr>
          <w:rFonts w:cs="Arial"/>
        </w:rPr>
        <w:t>bylo vyplaceno</w:t>
      </w:r>
      <w:r w:rsidRPr="00067E16">
        <w:rPr>
          <w:rFonts w:cs="Arial"/>
          <w:b/>
          <w:bCs/>
        </w:rPr>
        <w:t xml:space="preserve"> </w:t>
      </w:r>
      <w:r w:rsidRPr="00067E16">
        <w:rPr>
          <w:rFonts w:cs="Arial"/>
          <w:bCs/>
        </w:rPr>
        <w:t xml:space="preserve">0,7 mld. Kč </w:t>
      </w:r>
      <w:r w:rsidR="00355C21">
        <w:rPr>
          <w:rFonts w:cs="Arial"/>
          <w:bCs/>
        </w:rPr>
        <w:t>–</w:t>
      </w:r>
      <w:r w:rsidRPr="00067E16">
        <w:rPr>
          <w:rFonts w:cs="Arial"/>
          <w:bCs/>
        </w:rPr>
        <w:t xml:space="preserve"> </w:t>
      </w:r>
      <w:r w:rsidRPr="00067E16">
        <w:rPr>
          <w:rFonts w:cs="Arial"/>
          <w:b/>
        </w:rPr>
        <w:t>o 7,3 %</w:t>
      </w:r>
      <w:r w:rsidRPr="00067E16">
        <w:rPr>
          <w:rFonts w:cs="Arial"/>
        </w:rPr>
        <w:t xml:space="preserve"> </w:t>
      </w:r>
      <w:r w:rsidRPr="00067E16">
        <w:rPr>
          <w:rFonts w:cs="Arial"/>
          <w:b/>
        </w:rPr>
        <w:t xml:space="preserve">méně </w:t>
      </w:r>
      <w:r w:rsidRPr="00067E16">
        <w:rPr>
          <w:rFonts w:cs="Arial"/>
        </w:rPr>
        <w:t>než ve stejném období roku 2015. Průměrný počet měsíčně vyplácených dávek klesl ve sledovaném období o 7,2 % na 409,0 tis.</w:t>
      </w:r>
    </w:p>
    <w:p w:rsidR="00067E16" w:rsidRPr="00067E16" w:rsidRDefault="00067E16" w:rsidP="00067E16">
      <w:pPr>
        <w:spacing w:line="360" w:lineRule="auto"/>
        <w:jc w:val="both"/>
        <w:rPr>
          <w:rFonts w:cs="Arial"/>
        </w:rPr>
      </w:pPr>
      <w:r w:rsidRPr="00067E16">
        <w:rPr>
          <w:rFonts w:cs="Arial"/>
          <w:b/>
          <w:bCs/>
        </w:rPr>
        <w:lastRenderedPageBreak/>
        <w:tab/>
      </w:r>
      <w:r w:rsidRPr="00067E16">
        <w:rPr>
          <w:rFonts w:cs="Arial"/>
          <w:bCs/>
        </w:rPr>
        <w:t xml:space="preserve">Na </w:t>
      </w:r>
      <w:r w:rsidRPr="00067E16">
        <w:rPr>
          <w:rFonts w:cs="Arial"/>
          <w:b/>
          <w:bCs/>
        </w:rPr>
        <w:t>porodném</w:t>
      </w:r>
      <w:r w:rsidRPr="00067E16">
        <w:rPr>
          <w:rFonts w:cs="Arial"/>
          <w:bCs/>
        </w:rPr>
        <w:t xml:space="preserve"> bylo vyplaceno 69,3 mil. Kč, tj. </w:t>
      </w:r>
      <w:r w:rsidRPr="00067E16">
        <w:rPr>
          <w:rFonts w:cs="Arial"/>
          <w:b/>
          <w:bCs/>
        </w:rPr>
        <w:t xml:space="preserve">o 36,1 % </w:t>
      </w:r>
      <w:r w:rsidRPr="00067E16">
        <w:rPr>
          <w:rFonts w:cs="Arial"/>
          <w:bCs/>
        </w:rPr>
        <w:t>(o 18,4 mil. Kč)</w:t>
      </w:r>
      <w:r w:rsidRPr="00067E16">
        <w:rPr>
          <w:rFonts w:cs="Arial"/>
          <w:b/>
          <w:bCs/>
        </w:rPr>
        <w:t xml:space="preserve"> více</w:t>
      </w:r>
      <w:r w:rsidRPr="00067E16">
        <w:rPr>
          <w:rFonts w:cs="Arial"/>
          <w:bCs/>
        </w:rPr>
        <w:t xml:space="preserve"> než ve stejném období předchozího roku zejména v důsledku změn platných od 1. ledna 2015 (porodné se nově vyplácí i na druhé narozené dítě, zároveň došlo ke zvýšení hranice příjmů na porodné na 2,7 násobek životního minima rodiny).</w:t>
      </w:r>
    </w:p>
    <w:p w:rsidR="00067E16" w:rsidRPr="00067E16" w:rsidRDefault="00067E16" w:rsidP="00067E16">
      <w:pPr>
        <w:spacing w:line="360" w:lineRule="auto"/>
        <w:jc w:val="both"/>
        <w:rPr>
          <w:rFonts w:cs="Arial"/>
        </w:rPr>
      </w:pPr>
    </w:p>
    <w:p w:rsidR="00067E16" w:rsidRPr="00067E16" w:rsidRDefault="00067E16" w:rsidP="00067E16">
      <w:pPr>
        <w:spacing w:line="360" w:lineRule="auto"/>
        <w:jc w:val="both"/>
        <w:rPr>
          <w:rFonts w:cs="Arial"/>
          <w:bCs/>
        </w:rPr>
      </w:pPr>
      <w:r w:rsidRPr="00067E16">
        <w:rPr>
          <w:rFonts w:cs="Arial"/>
        </w:rPr>
        <w:tab/>
      </w:r>
      <w:r w:rsidRPr="00067E16">
        <w:rPr>
          <w:rFonts w:cs="Arial"/>
          <w:b/>
          <w:bCs/>
        </w:rPr>
        <w:t xml:space="preserve">Dávky pěstounské péče </w:t>
      </w:r>
      <w:r w:rsidRPr="00067E16">
        <w:rPr>
          <w:rFonts w:cs="Arial"/>
          <w:bCs/>
        </w:rPr>
        <w:t xml:space="preserve">jsou od ledna 2013 upraveny zákonem č. 359/1999 Sb., o sociálně-právní ochraně dětí. V souvislosti se změnou právní úpravy došlo především ke zvýšení odměny pěstouna a nárůstu vyplacených dávek, bylo na ně </w:t>
      </w:r>
      <w:r w:rsidRPr="00067E16">
        <w:rPr>
          <w:rFonts w:cs="Arial"/>
        </w:rPr>
        <w:t>vyplaceno</w:t>
      </w:r>
      <w:r w:rsidRPr="00067E16">
        <w:rPr>
          <w:rFonts w:cs="Arial"/>
          <w:b/>
          <w:bCs/>
        </w:rPr>
        <w:t xml:space="preserve"> </w:t>
      </w:r>
      <w:r w:rsidRPr="00067E16">
        <w:rPr>
          <w:rFonts w:cs="Arial"/>
          <w:b/>
        </w:rPr>
        <w:t xml:space="preserve">o 7,5 % </w:t>
      </w:r>
      <w:r w:rsidRPr="00067E16">
        <w:rPr>
          <w:rFonts w:cs="Arial"/>
        </w:rPr>
        <w:t xml:space="preserve">(o 48,6 mil. Kč) meziročně </w:t>
      </w:r>
      <w:r w:rsidRPr="00067E16">
        <w:rPr>
          <w:rFonts w:cs="Arial"/>
          <w:b/>
        </w:rPr>
        <w:t>více</w:t>
      </w:r>
      <w:r w:rsidRPr="00067E16">
        <w:rPr>
          <w:rFonts w:cs="Arial"/>
        </w:rPr>
        <w:t>, tedy 0,7</w:t>
      </w:r>
      <w:r w:rsidRPr="00067E16">
        <w:rPr>
          <w:rFonts w:cs="Arial"/>
          <w:bCs/>
        </w:rPr>
        <w:t xml:space="preserve"> mld. Kč. </w:t>
      </w:r>
      <w:r w:rsidRPr="00067E16">
        <w:rPr>
          <w:rFonts w:cs="Arial"/>
        </w:rPr>
        <w:t>Jejich průměrný měsíční počet vzrostl o 3,7 % (na 28,2 tis.) – viz tabulky č. 9 – 11 v příloze.</w:t>
      </w:r>
      <w:r w:rsidRPr="00067E16">
        <w:rPr>
          <w:rFonts w:cs="Arial"/>
          <w:bCs/>
        </w:rPr>
        <w:t xml:space="preserve"> </w:t>
      </w:r>
    </w:p>
    <w:p w:rsidR="00067E16" w:rsidRPr="00067E16" w:rsidRDefault="00067E16" w:rsidP="00067E16">
      <w:pPr>
        <w:spacing w:line="360" w:lineRule="auto"/>
        <w:jc w:val="both"/>
        <w:rPr>
          <w:rFonts w:cs="Arial"/>
        </w:rPr>
      </w:pPr>
    </w:p>
    <w:p w:rsidR="00067E16" w:rsidRPr="00067E16" w:rsidRDefault="00067E16" w:rsidP="00067E16">
      <w:pPr>
        <w:spacing w:line="360" w:lineRule="auto"/>
        <w:jc w:val="both"/>
        <w:rPr>
          <w:rFonts w:cs="Arial"/>
        </w:rPr>
      </w:pPr>
    </w:p>
    <w:p w:rsidR="00067E16" w:rsidRPr="00067E16" w:rsidRDefault="00067E16" w:rsidP="00575A4A">
      <w:pPr>
        <w:spacing w:line="360" w:lineRule="auto"/>
        <w:jc w:val="both"/>
        <w:rPr>
          <w:rFonts w:cs="Arial"/>
        </w:rPr>
      </w:pPr>
      <w:r w:rsidRPr="00067E16">
        <w:rPr>
          <w:rFonts w:cs="Arial"/>
        </w:rPr>
        <w:tab/>
        <w:t xml:space="preserve">V pořadí </w:t>
      </w:r>
      <w:r w:rsidRPr="00067E16">
        <w:rPr>
          <w:rFonts w:cs="Arial"/>
          <w:b/>
        </w:rPr>
        <w:t xml:space="preserve">třetí </w:t>
      </w:r>
      <w:r w:rsidRPr="00067E16">
        <w:rPr>
          <w:rFonts w:cs="Arial"/>
        </w:rPr>
        <w:t xml:space="preserve">objemově </w:t>
      </w:r>
      <w:r w:rsidRPr="00067E16">
        <w:rPr>
          <w:rFonts w:cs="Arial"/>
          <w:b/>
        </w:rPr>
        <w:t xml:space="preserve">největší položku </w:t>
      </w:r>
      <w:r w:rsidRPr="00067E16">
        <w:rPr>
          <w:rFonts w:cs="Arial"/>
        </w:rPr>
        <w:t xml:space="preserve">sociálních příjmů domácností tvořily </w:t>
      </w:r>
      <w:r w:rsidRPr="00067E16">
        <w:rPr>
          <w:rFonts w:cs="Arial"/>
          <w:b/>
          <w:u w:val="single"/>
        </w:rPr>
        <w:t xml:space="preserve">dávky nemocenského pojištění </w:t>
      </w:r>
      <w:r w:rsidRPr="00067E16">
        <w:rPr>
          <w:rFonts w:cs="Arial"/>
        </w:rPr>
        <w:t>– viz tabulku č. 7 v příloze.</w:t>
      </w:r>
      <w:r w:rsidRPr="00067E16">
        <w:rPr>
          <w:rFonts w:cs="Arial"/>
          <w:b/>
        </w:rPr>
        <w:t xml:space="preserve"> </w:t>
      </w:r>
      <w:r w:rsidRPr="00067E16">
        <w:rPr>
          <w:rFonts w:cs="Arial"/>
        </w:rPr>
        <w:t xml:space="preserve">Touto formou bylo v 1. čtvrtletí 2016 poskytnuto </w:t>
      </w:r>
      <w:r w:rsidRPr="00067E16">
        <w:rPr>
          <w:rFonts w:cs="Arial"/>
          <w:b/>
        </w:rPr>
        <w:t xml:space="preserve">6,6 mld. Kč, </w:t>
      </w:r>
      <w:r w:rsidRPr="00067E16">
        <w:rPr>
          <w:rFonts w:cs="Arial"/>
        </w:rPr>
        <w:t xml:space="preserve">což bylo </w:t>
      </w:r>
      <w:r w:rsidRPr="00067E16">
        <w:rPr>
          <w:rFonts w:cs="Arial"/>
          <w:b/>
        </w:rPr>
        <w:t>o 0,5 mld. Kč</w:t>
      </w:r>
      <w:r w:rsidRPr="00067E16">
        <w:rPr>
          <w:rFonts w:cs="Arial"/>
        </w:rPr>
        <w:t xml:space="preserve"> (</w:t>
      </w:r>
      <w:r w:rsidRPr="00067E16">
        <w:rPr>
          <w:rFonts w:cs="Arial"/>
          <w:b/>
        </w:rPr>
        <w:t>o 7,4 %</w:t>
      </w:r>
      <w:r w:rsidRPr="00067E16">
        <w:rPr>
          <w:rFonts w:cs="Arial"/>
        </w:rPr>
        <w:t xml:space="preserve">) </w:t>
      </w:r>
      <w:r w:rsidRPr="00067E16">
        <w:rPr>
          <w:rFonts w:cs="Arial"/>
          <w:b/>
        </w:rPr>
        <w:t>více</w:t>
      </w:r>
      <w:r w:rsidRPr="00067E16">
        <w:rPr>
          <w:rFonts w:cs="Arial"/>
        </w:rPr>
        <w:t xml:space="preserve"> než ve srovnatelném období předchozího roku.</w:t>
      </w:r>
    </w:p>
    <w:p w:rsidR="00067E16" w:rsidRPr="00067E16" w:rsidRDefault="00067E16" w:rsidP="00067E16">
      <w:pPr>
        <w:spacing w:line="360" w:lineRule="auto"/>
        <w:jc w:val="both"/>
        <w:rPr>
          <w:rFonts w:cs="Arial"/>
        </w:rPr>
      </w:pPr>
    </w:p>
    <w:p w:rsidR="00067E16" w:rsidRPr="00067E16" w:rsidRDefault="00067E16" w:rsidP="00067E16">
      <w:pPr>
        <w:spacing w:line="360" w:lineRule="auto"/>
        <w:jc w:val="both"/>
        <w:rPr>
          <w:rFonts w:cs="Arial"/>
        </w:rPr>
      </w:pPr>
      <w:r w:rsidRPr="00067E16">
        <w:rPr>
          <w:rFonts w:cs="Arial"/>
        </w:rPr>
        <w:tab/>
        <w:t xml:space="preserve">Rozhodující dávkou bylo </w:t>
      </w:r>
      <w:r w:rsidRPr="00067E16">
        <w:rPr>
          <w:rFonts w:cs="Arial"/>
          <w:b/>
        </w:rPr>
        <w:t>nemocenské,</w:t>
      </w:r>
      <w:r w:rsidRPr="00067E16">
        <w:rPr>
          <w:rFonts w:cs="Arial"/>
        </w:rPr>
        <w:t xml:space="preserve"> jehož </w:t>
      </w:r>
      <w:r w:rsidRPr="00067E16">
        <w:rPr>
          <w:rFonts w:cs="Arial"/>
          <w:b/>
          <w:bCs/>
        </w:rPr>
        <w:t>objem dosáhl 4</w:t>
      </w:r>
      <w:r w:rsidRPr="00067E16">
        <w:rPr>
          <w:rFonts w:cs="Arial"/>
          <w:b/>
        </w:rPr>
        <w:t xml:space="preserve">,3 mld. Kč, </w:t>
      </w:r>
      <w:r w:rsidRPr="00067E16">
        <w:rPr>
          <w:rFonts w:cs="Arial"/>
        </w:rPr>
        <w:t>tj. </w:t>
      </w:r>
      <w:r w:rsidRPr="00067E16">
        <w:rPr>
          <w:rFonts w:cs="Arial"/>
          <w:b/>
        </w:rPr>
        <w:t xml:space="preserve">o  8,3 % </w:t>
      </w:r>
      <w:r w:rsidRPr="00067E16">
        <w:rPr>
          <w:rFonts w:cs="Arial"/>
        </w:rPr>
        <w:t xml:space="preserve">(o 0,3 mld.) </w:t>
      </w:r>
      <w:r w:rsidRPr="00067E16">
        <w:rPr>
          <w:rFonts w:cs="Arial"/>
          <w:b/>
        </w:rPr>
        <w:t>více</w:t>
      </w:r>
      <w:r w:rsidRPr="00067E16">
        <w:rPr>
          <w:rFonts w:cs="Arial"/>
        </w:rPr>
        <w:t xml:space="preserve"> než ve stejném období loňského roku. </w:t>
      </w:r>
    </w:p>
    <w:p w:rsidR="00067E16" w:rsidRPr="00067E16" w:rsidRDefault="00067E16" w:rsidP="00067E16">
      <w:pPr>
        <w:spacing w:line="360" w:lineRule="auto"/>
        <w:jc w:val="both"/>
        <w:rPr>
          <w:rFonts w:cs="Arial"/>
          <w:bCs/>
          <w:szCs w:val="24"/>
        </w:rPr>
      </w:pPr>
      <w:r w:rsidRPr="00067E16">
        <w:rPr>
          <w:rFonts w:cs="Arial"/>
        </w:rPr>
        <w:tab/>
      </w:r>
      <w:r w:rsidRPr="00067E16">
        <w:rPr>
          <w:rFonts w:cs="Arial"/>
          <w:szCs w:val="24"/>
        </w:rPr>
        <w:t xml:space="preserve">Výdaje na </w:t>
      </w:r>
      <w:r w:rsidRPr="00067E16">
        <w:rPr>
          <w:rFonts w:cs="Arial"/>
          <w:b/>
          <w:bCs/>
          <w:szCs w:val="24"/>
        </w:rPr>
        <w:t xml:space="preserve">ošetřovné </w:t>
      </w:r>
      <w:r w:rsidRPr="00067E16">
        <w:rPr>
          <w:rFonts w:cs="Arial"/>
          <w:bCs/>
          <w:szCs w:val="24"/>
        </w:rPr>
        <w:t>ve</w:t>
      </w:r>
      <w:r w:rsidRPr="00067E16">
        <w:rPr>
          <w:rFonts w:cs="Arial"/>
          <w:b/>
          <w:bCs/>
          <w:szCs w:val="24"/>
        </w:rPr>
        <w:t xml:space="preserve"> </w:t>
      </w:r>
      <w:r w:rsidRPr="00067E16">
        <w:rPr>
          <w:rFonts w:cs="Arial"/>
          <w:bCs/>
          <w:szCs w:val="24"/>
        </w:rPr>
        <w:t>sledovaném období klesly na 345,6 mil. Kč (</w:t>
      </w:r>
      <w:r w:rsidRPr="00067E16">
        <w:rPr>
          <w:rFonts w:cs="Arial"/>
          <w:b/>
          <w:bCs/>
          <w:szCs w:val="24"/>
        </w:rPr>
        <w:t>o 0,9 %</w:t>
      </w:r>
      <w:r w:rsidRPr="00067E16">
        <w:rPr>
          <w:rFonts w:cs="Arial"/>
          <w:bCs/>
          <w:szCs w:val="24"/>
        </w:rPr>
        <w:t>, tj. o 3,2 mil. Kč).</w:t>
      </w:r>
    </w:p>
    <w:p w:rsidR="00067E16" w:rsidRPr="00067E16" w:rsidRDefault="00067E16" w:rsidP="00067E16">
      <w:pPr>
        <w:spacing w:line="360" w:lineRule="auto"/>
        <w:ind w:firstLine="708"/>
        <w:jc w:val="both"/>
        <w:rPr>
          <w:rFonts w:cs="Arial"/>
        </w:rPr>
      </w:pPr>
    </w:p>
    <w:p w:rsidR="00067E16" w:rsidRPr="00067E16" w:rsidRDefault="00067E16" w:rsidP="00067E16">
      <w:pPr>
        <w:spacing w:line="360" w:lineRule="auto"/>
        <w:jc w:val="both"/>
        <w:rPr>
          <w:rFonts w:cs="Arial"/>
          <w:bCs/>
        </w:rPr>
      </w:pPr>
      <w:r w:rsidRPr="00067E16">
        <w:rPr>
          <w:rFonts w:cs="Arial"/>
        </w:rPr>
        <w:tab/>
      </w:r>
      <w:r w:rsidRPr="00067E16">
        <w:rPr>
          <w:rFonts w:cs="Arial"/>
          <w:b/>
        </w:rPr>
        <w:t>Na peněžitou pomoc v mateřství</w:t>
      </w:r>
      <w:r w:rsidRPr="00067E16">
        <w:rPr>
          <w:rFonts w:cs="Arial"/>
        </w:rPr>
        <w:t xml:space="preserve"> bylo za leden až březen 2016 vyplaceno </w:t>
      </w:r>
      <w:r w:rsidRPr="00067E16">
        <w:rPr>
          <w:rFonts w:cs="Arial"/>
          <w:b/>
        </w:rPr>
        <w:t>1,9 mld. Kč,</w:t>
      </w:r>
      <w:r w:rsidRPr="00067E16">
        <w:rPr>
          <w:rFonts w:cs="Arial"/>
        </w:rPr>
        <w:t xml:space="preserve"> což je</w:t>
      </w:r>
      <w:r w:rsidRPr="00067E16">
        <w:rPr>
          <w:rFonts w:cs="Arial"/>
          <w:b/>
        </w:rPr>
        <w:t xml:space="preserve"> </w:t>
      </w:r>
      <w:r w:rsidRPr="00067E16">
        <w:rPr>
          <w:rFonts w:cs="Arial"/>
          <w:b/>
          <w:bCs/>
        </w:rPr>
        <w:t>o 6,8 %</w:t>
      </w:r>
      <w:r w:rsidRPr="00067E16">
        <w:rPr>
          <w:rFonts w:cs="Arial"/>
          <w:bCs/>
        </w:rPr>
        <w:t xml:space="preserve"> (o 123,6</w:t>
      </w:r>
      <w:r w:rsidRPr="00067E16">
        <w:rPr>
          <w:rFonts w:cs="Arial"/>
          <w:b/>
          <w:bCs/>
        </w:rPr>
        <w:t xml:space="preserve"> </w:t>
      </w:r>
      <w:r w:rsidRPr="00067E16">
        <w:rPr>
          <w:rFonts w:cs="Arial"/>
          <w:bCs/>
        </w:rPr>
        <w:t>mil.</w:t>
      </w:r>
      <w:r w:rsidRPr="00067E16">
        <w:rPr>
          <w:rFonts w:cs="Arial"/>
          <w:b/>
          <w:bCs/>
        </w:rPr>
        <w:t xml:space="preserve"> </w:t>
      </w:r>
      <w:r w:rsidRPr="00067E16">
        <w:rPr>
          <w:rFonts w:cs="Arial"/>
          <w:bCs/>
        </w:rPr>
        <w:t xml:space="preserve">Kč) </w:t>
      </w:r>
      <w:r w:rsidRPr="00067E16">
        <w:rPr>
          <w:rFonts w:cs="Arial"/>
          <w:b/>
          <w:bCs/>
        </w:rPr>
        <w:t>více</w:t>
      </w:r>
      <w:r w:rsidRPr="00067E16">
        <w:rPr>
          <w:rFonts w:cs="Arial"/>
          <w:bCs/>
        </w:rPr>
        <w:t xml:space="preserve"> než za 1. čtvrtletí 2015.</w:t>
      </w:r>
    </w:p>
    <w:p w:rsidR="00067E16" w:rsidRPr="00067E16" w:rsidRDefault="00067E16" w:rsidP="00067E16">
      <w:pPr>
        <w:spacing w:line="360" w:lineRule="auto"/>
        <w:jc w:val="both"/>
        <w:rPr>
          <w:rFonts w:cs="Arial"/>
        </w:rPr>
      </w:pPr>
    </w:p>
    <w:p w:rsidR="00067E16" w:rsidRPr="00067E16" w:rsidRDefault="00067E16" w:rsidP="00067E16">
      <w:pPr>
        <w:spacing w:line="360" w:lineRule="auto"/>
        <w:jc w:val="both"/>
        <w:rPr>
          <w:rFonts w:cs="Arial"/>
          <w:szCs w:val="24"/>
        </w:rPr>
      </w:pPr>
      <w:r w:rsidRPr="00067E16">
        <w:rPr>
          <w:rFonts w:cs="Arial"/>
        </w:rPr>
        <w:tab/>
      </w:r>
      <w:r w:rsidRPr="00067E16">
        <w:rPr>
          <w:rFonts w:cs="Arial"/>
          <w:szCs w:val="24"/>
        </w:rPr>
        <w:t xml:space="preserve">Na </w:t>
      </w:r>
      <w:r w:rsidRPr="00067E16">
        <w:rPr>
          <w:rFonts w:cs="Arial"/>
          <w:b/>
          <w:szCs w:val="24"/>
        </w:rPr>
        <w:t xml:space="preserve">vyrovnávacím příspěvku v těhotenství a mateřství </w:t>
      </w:r>
      <w:r w:rsidRPr="00067E16">
        <w:rPr>
          <w:rFonts w:cs="Arial"/>
          <w:szCs w:val="24"/>
        </w:rPr>
        <w:t>bylo vyplaceno 2,3 mil. Kč – viz tabulku č. 13 v příloze.</w:t>
      </w:r>
    </w:p>
    <w:p w:rsidR="00067E16" w:rsidRDefault="00067E16" w:rsidP="00067E16">
      <w:pPr>
        <w:spacing w:line="360" w:lineRule="auto"/>
        <w:jc w:val="both"/>
        <w:rPr>
          <w:rFonts w:cs="Arial"/>
        </w:rPr>
      </w:pPr>
      <w:r w:rsidRPr="00067E16">
        <w:rPr>
          <w:rFonts w:cs="Arial"/>
          <w:szCs w:val="24"/>
        </w:rPr>
        <w:tab/>
      </w:r>
      <w:r w:rsidRPr="00067E16">
        <w:rPr>
          <w:rFonts w:cs="Arial"/>
        </w:rPr>
        <w:t xml:space="preserve">Další významnou složkou sociálních příjmů domácností byl </w:t>
      </w:r>
      <w:r w:rsidRPr="00067E16">
        <w:rPr>
          <w:rFonts w:cs="Arial"/>
          <w:b/>
          <w:u w:val="single"/>
        </w:rPr>
        <w:t>příspěvek na péči</w:t>
      </w:r>
      <w:r w:rsidRPr="00067E16">
        <w:rPr>
          <w:rFonts w:cs="Arial"/>
          <w:b/>
        </w:rPr>
        <w:t xml:space="preserve">. </w:t>
      </w:r>
      <w:r w:rsidRPr="00067E16">
        <w:rPr>
          <w:rFonts w:cs="Arial"/>
        </w:rPr>
        <w:t xml:space="preserve">V hodnoceném období bylo takto vyplaceno </w:t>
      </w:r>
      <w:r w:rsidRPr="00067E16">
        <w:rPr>
          <w:rFonts w:cs="Arial"/>
          <w:b/>
        </w:rPr>
        <w:t>5,4 mld. Kč,</w:t>
      </w:r>
      <w:r w:rsidRPr="00067E16">
        <w:rPr>
          <w:rFonts w:cs="Arial"/>
        </w:rPr>
        <w:t xml:space="preserve"> což bylo </w:t>
      </w:r>
      <w:r w:rsidRPr="00067E16">
        <w:rPr>
          <w:rFonts w:cs="Arial"/>
          <w:b/>
        </w:rPr>
        <w:t>o 3,8 %</w:t>
      </w:r>
      <w:r w:rsidRPr="00067E16">
        <w:rPr>
          <w:rFonts w:cs="Arial"/>
        </w:rPr>
        <w:t xml:space="preserve"> (0,2 mld. Kč) meziročně </w:t>
      </w:r>
      <w:r w:rsidRPr="00067E16">
        <w:rPr>
          <w:rFonts w:cs="Arial"/>
          <w:b/>
        </w:rPr>
        <w:t xml:space="preserve">více </w:t>
      </w:r>
      <w:r w:rsidRPr="00067E16">
        <w:rPr>
          <w:rFonts w:cs="Arial"/>
        </w:rPr>
        <w:t>– viz tabulku č. 14 v příloze.</w:t>
      </w:r>
    </w:p>
    <w:p w:rsidR="00957694" w:rsidRDefault="00957694" w:rsidP="00067E16">
      <w:pPr>
        <w:spacing w:line="360" w:lineRule="auto"/>
        <w:jc w:val="both"/>
        <w:rPr>
          <w:rFonts w:cs="Arial"/>
        </w:rPr>
      </w:pPr>
    </w:p>
    <w:p w:rsidR="00957694" w:rsidRPr="00067E16" w:rsidRDefault="00957694" w:rsidP="00067E16">
      <w:pPr>
        <w:spacing w:line="360" w:lineRule="auto"/>
        <w:jc w:val="both"/>
        <w:rPr>
          <w:rFonts w:cs="Arial"/>
        </w:rPr>
      </w:pPr>
    </w:p>
    <w:p w:rsidR="00067E16" w:rsidRPr="00067E16" w:rsidRDefault="00067E16" w:rsidP="00067E16">
      <w:pPr>
        <w:spacing w:line="360" w:lineRule="auto"/>
        <w:ind w:firstLine="708"/>
        <w:jc w:val="both"/>
        <w:rPr>
          <w:rFonts w:cs="Arial"/>
        </w:rPr>
      </w:pPr>
    </w:p>
    <w:p w:rsidR="00067E16" w:rsidRPr="00067E16" w:rsidRDefault="00067E16" w:rsidP="00067E16">
      <w:pPr>
        <w:spacing w:after="240"/>
        <w:ind w:firstLine="708"/>
        <w:rPr>
          <w:rFonts w:cs="Arial"/>
          <w:b/>
        </w:rPr>
      </w:pPr>
      <w:r w:rsidRPr="00067E16">
        <w:rPr>
          <w:rFonts w:cs="Arial"/>
          <w:b/>
        </w:rPr>
        <w:lastRenderedPageBreak/>
        <w:t>V březnu 2016</w:t>
      </w:r>
    </w:p>
    <w:p w:rsidR="00067E16" w:rsidRPr="00067E16" w:rsidRDefault="00067E16" w:rsidP="00067E16">
      <w:pPr>
        <w:numPr>
          <w:ilvl w:val="0"/>
          <w:numId w:val="18"/>
        </w:numPr>
        <w:spacing w:after="240"/>
        <w:jc w:val="both"/>
        <w:rPr>
          <w:rFonts w:cs="Arial"/>
        </w:rPr>
      </w:pPr>
      <w:r w:rsidRPr="00067E16">
        <w:rPr>
          <w:rFonts w:cs="Arial"/>
        </w:rPr>
        <w:t>bylo vyplaceno 342,6 tis. dávek, tj. o 5,9 tis. více než v březnu 2015,</w:t>
      </w:r>
    </w:p>
    <w:p w:rsidR="00067E16" w:rsidRPr="00067E16" w:rsidRDefault="00067E16" w:rsidP="00067E16">
      <w:pPr>
        <w:numPr>
          <w:ilvl w:val="0"/>
          <w:numId w:val="18"/>
        </w:numPr>
        <w:jc w:val="both"/>
        <w:rPr>
          <w:rFonts w:cs="Arial"/>
          <w:sz w:val="26"/>
        </w:rPr>
      </w:pPr>
      <w:r w:rsidRPr="00067E16">
        <w:rPr>
          <w:rFonts w:cs="Arial"/>
        </w:rPr>
        <w:t>příjemcům s I. stupněm závislosti bylo vyplaceno 31,7 % příspěvků, s II. stupněm 32,6 %, se III. stupněm 22,7 % a osobám se IV. stupněm závislosti 13,0 % příspěvků.</w:t>
      </w:r>
    </w:p>
    <w:p w:rsidR="00067E16" w:rsidRPr="00067E16" w:rsidRDefault="00067E16" w:rsidP="00067E16">
      <w:pPr>
        <w:spacing w:line="360" w:lineRule="auto"/>
        <w:jc w:val="both"/>
        <w:rPr>
          <w:rFonts w:cs="Arial"/>
          <w:szCs w:val="24"/>
        </w:rPr>
      </w:pPr>
    </w:p>
    <w:p w:rsidR="00067E16" w:rsidRPr="00067E16" w:rsidRDefault="00067E16" w:rsidP="00067E16">
      <w:pPr>
        <w:spacing w:line="360" w:lineRule="auto"/>
        <w:jc w:val="both"/>
        <w:rPr>
          <w:rFonts w:cs="Arial"/>
          <w:szCs w:val="24"/>
        </w:rPr>
      </w:pPr>
    </w:p>
    <w:p w:rsidR="00067E16" w:rsidRPr="00067E16" w:rsidRDefault="00067E16" w:rsidP="00067E16">
      <w:pPr>
        <w:spacing w:line="360" w:lineRule="auto"/>
        <w:jc w:val="both"/>
        <w:rPr>
          <w:rFonts w:cs="Arial"/>
        </w:rPr>
      </w:pPr>
      <w:r w:rsidRPr="00067E16">
        <w:rPr>
          <w:rFonts w:cs="Arial"/>
          <w:bCs/>
          <w:szCs w:val="24"/>
        </w:rPr>
        <w:tab/>
      </w:r>
      <w:r w:rsidRPr="00067E16">
        <w:rPr>
          <w:rFonts w:cs="Arial"/>
        </w:rPr>
        <w:t xml:space="preserve">Na prostředky vyplacené formou </w:t>
      </w:r>
      <w:r w:rsidRPr="00067E16">
        <w:rPr>
          <w:rFonts w:cs="Arial"/>
          <w:b/>
          <w:u w:val="single"/>
        </w:rPr>
        <w:t>podpory v nezaměstnanosti</w:t>
      </w:r>
      <w:r w:rsidRPr="00067E16">
        <w:rPr>
          <w:rFonts w:cs="Arial"/>
        </w:rPr>
        <w:t xml:space="preserve"> bylo v 1. čtvrtletí 2016 vyčerpáno </w:t>
      </w:r>
      <w:r w:rsidRPr="00067E16">
        <w:rPr>
          <w:rFonts w:cs="Arial"/>
          <w:b/>
        </w:rPr>
        <w:t>2,5 mld.</w:t>
      </w:r>
      <w:r w:rsidRPr="00067E16">
        <w:rPr>
          <w:rFonts w:cs="Arial"/>
        </w:rPr>
        <w:t xml:space="preserve"> </w:t>
      </w:r>
      <w:r w:rsidRPr="00067E16">
        <w:rPr>
          <w:rFonts w:cs="Arial"/>
          <w:b/>
        </w:rPr>
        <w:t>Kč</w:t>
      </w:r>
      <w:r w:rsidRPr="00067E16">
        <w:rPr>
          <w:rFonts w:cs="Arial"/>
        </w:rPr>
        <w:t xml:space="preserve"> při meziročním </w:t>
      </w:r>
      <w:r w:rsidRPr="00067E16">
        <w:rPr>
          <w:rFonts w:cs="Arial"/>
          <w:b/>
        </w:rPr>
        <w:t>poklesu o 4,1 %</w:t>
      </w:r>
      <w:r w:rsidRPr="00067E16">
        <w:rPr>
          <w:rFonts w:cs="Arial"/>
        </w:rPr>
        <w:t xml:space="preserve"> – viz tabulku č. 7 v příloze. V uvedeném období </w:t>
      </w:r>
      <w:r w:rsidRPr="00067E16">
        <w:rPr>
          <w:rFonts w:cs="Arial"/>
          <w:b/>
        </w:rPr>
        <w:t>se snížil průměrný podíl nezaměstnaných osob</w:t>
      </w:r>
      <w:r w:rsidRPr="00067E16">
        <w:rPr>
          <w:rFonts w:cs="Arial"/>
        </w:rPr>
        <w:t xml:space="preserve"> (počet dosažitelných uchazečů o zaměstnání ve věku 15 až 64 let k obyvatelstvu stejného věku) ze 7,5 % na </w:t>
      </w:r>
      <w:r w:rsidRPr="00067E16">
        <w:rPr>
          <w:rFonts w:cs="Arial"/>
          <w:b/>
        </w:rPr>
        <w:t>6,3 %,</w:t>
      </w:r>
      <w:r w:rsidRPr="00067E16">
        <w:rPr>
          <w:rFonts w:cs="Arial"/>
        </w:rPr>
        <w:t xml:space="preserve"> tj. o 1,2 p. b. Průměrný počet evidovaných nezaměstnaných se snížil o 87,1 tis. na 458,9 tis. osob, přičemž průměrný počet evidovaných nezaměstnaných s nárokem na podporu v nezaměstnanosti klesl na 117,7 tis. (o 8,3 tis., tj. o 6,6 %). Podíl žen pobírajících podporu v nezaměstnanosti na celkovém počtu uchazečů s podporou činil 45,7 % (o 0,5 p. b. meziročně více). Na jedno volné pracovní místo připadalo 4,1 uchazečů (oproti 8,2 ve stejném období roku 2015).</w:t>
      </w:r>
    </w:p>
    <w:p w:rsidR="00067E16" w:rsidRPr="00067E16" w:rsidRDefault="00067E16" w:rsidP="00067E16">
      <w:pPr>
        <w:spacing w:line="360" w:lineRule="auto"/>
        <w:jc w:val="both"/>
        <w:rPr>
          <w:rFonts w:cs="Arial"/>
        </w:rPr>
      </w:pPr>
    </w:p>
    <w:p w:rsidR="00067E16" w:rsidRPr="00067E16" w:rsidRDefault="00067E16" w:rsidP="00067E16">
      <w:pPr>
        <w:spacing w:line="360" w:lineRule="auto"/>
        <w:jc w:val="both"/>
        <w:rPr>
          <w:rFonts w:cs="Arial"/>
        </w:rPr>
      </w:pPr>
      <w:r w:rsidRPr="00067E16">
        <w:rPr>
          <w:rFonts w:cs="Arial"/>
        </w:rPr>
        <w:tab/>
      </w:r>
      <w:r w:rsidRPr="00067E16">
        <w:rPr>
          <w:rFonts w:cs="Arial"/>
          <w:b/>
        </w:rPr>
        <w:t>Průměrná měsíční výše podpory v nezaměstnanosti</w:t>
      </w:r>
      <w:r w:rsidRPr="00067E16">
        <w:rPr>
          <w:rFonts w:cs="Arial"/>
        </w:rPr>
        <w:t xml:space="preserve"> se ve sledovaném období zvýšila o 232 Kč na </w:t>
      </w:r>
      <w:r w:rsidRPr="00067E16">
        <w:rPr>
          <w:rFonts w:cs="Arial"/>
          <w:b/>
        </w:rPr>
        <w:t>6 254 Kč</w:t>
      </w:r>
      <w:r w:rsidR="00355C21">
        <w:rPr>
          <w:rFonts w:cs="Arial"/>
          <w:b/>
        </w:rPr>
        <w:t>.</w:t>
      </w:r>
      <w:r w:rsidRPr="00067E16">
        <w:rPr>
          <w:rFonts w:cs="Arial"/>
        </w:rPr>
        <w:t xml:space="preserve"> Meziroční zvýšení průměrné výše podpory bylo zaznamenáno ve všech krajích ČR – viz tabulku č. 15 v příloze.</w:t>
      </w:r>
    </w:p>
    <w:p w:rsidR="00067E16" w:rsidRPr="00067E16" w:rsidRDefault="00067E16" w:rsidP="00067E16">
      <w:pPr>
        <w:spacing w:line="360" w:lineRule="auto"/>
        <w:jc w:val="both"/>
        <w:rPr>
          <w:rFonts w:cs="Arial"/>
        </w:rPr>
      </w:pPr>
    </w:p>
    <w:p w:rsidR="00067E16" w:rsidRPr="00067E16" w:rsidRDefault="00067E16" w:rsidP="00067E16">
      <w:pPr>
        <w:spacing w:line="360" w:lineRule="auto"/>
        <w:jc w:val="both"/>
        <w:rPr>
          <w:rFonts w:cs="Arial"/>
        </w:rPr>
      </w:pPr>
    </w:p>
    <w:p w:rsidR="00067E16" w:rsidRPr="00067E16" w:rsidRDefault="00067E16" w:rsidP="00067E16">
      <w:pPr>
        <w:spacing w:line="360" w:lineRule="auto"/>
        <w:jc w:val="both"/>
        <w:rPr>
          <w:rFonts w:cs="Arial"/>
        </w:rPr>
      </w:pPr>
      <w:r w:rsidRPr="00067E16">
        <w:rPr>
          <w:rFonts w:cs="Arial"/>
        </w:rPr>
        <w:tab/>
      </w:r>
      <w:r w:rsidRPr="00067E16">
        <w:rPr>
          <w:rFonts w:cs="Arial"/>
          <w:b/>
          <w:u w:val="single"/>
        </w:rPr>
        <w:t>Dávky pomoci v hmotné nouzi</w:t>
      </w:r>
      <w:r w:rsidRPr="00067E16">
        <w:rPr>
          <w:rFonts w:cs="Arial"/>
        </w:rPr>
        <w:t xml:space="preserve"> </w:t>
      </w:r>
      <w:r w:rsidRPr="00067E16">
        <w:rPr>
          <w:rFonts w:cs="Arial"/>
          <w:szCs w:val="24"/>
        </w:rPr>
        <w:t xml:space="preserve">byly čerpány ve </w:t>
      </w:r>
      <w:r w:rsidRPr="00067E16">
        <w:rPr>
          <w:rFonts w:cs="Arial"/>
          <w:b/>
          <w:szCs w:val="24"/>
        </w:rPr>
        <w:t>výši 2,4 mld. Kč.</w:t>
      </w:r>
      <w:r w:rsidRPr="00067E16">
        <w:rPr>
          <w:rFonts w:cs="Arial"/>
          <w:szCs w:val="24"/>
        </w:rPr>
        <w:t xml:space="preserve"> V porovnání s množstvím prostředků</w:t>
      </w:r>
      <w:r w:rsidRPr="00067E16">
        <w:rPr>
          <w:rFonts w:cs="Arial"/>
        </w:rPr>
        <w:t xml:space="preserve"> poskytnutých touto formou v 1. čtvrtletí 2015 se jednalo o jejich </w:t>
      </w:r>
      <w:r w:rsidRPr="00067E16">
        <w:rPr>
          <w:rFonts w:cs="Arial"/>
          <w:b/>
        </w:rPr>
        <w:t xml:space="preserve">snížení </w:t>
      </w:r>
      <w:r w:rsidRPr="00067E16">
        <w:rPr>
          <w:rFonts w:cs="Arial"/>
        </w:rPr>
        <w:t>(</w:t>
      </w:r>
      <w:r w:rsidRPr="00067E16">
        <w:rPr>
          <w:rFonts w:cs="Arial"/>
          <w:b/>
        </w:rPr>
        <w:t>o 11,2 %,</w:t>
      </w:r>
      <w:r w:rsidRPr="00067E16">
        <w:rPr>
          <w:rFonts w:cs="Arial"/>
        </w:rPr>
        <w:t xml:space="preserve"> tj. </w:t>
      </w:r>
      <w:r w:rsidRPr="00067E16">
        <w:rPr>
          <w:rFonts w:cs="Arial"/>
          <w:b/>
        </w:rPr>
        <w:t>o 0,3 mld. Kč</w:t>
      </w:r>
      <w:r w:rsidRPr="00067E16">
        <w:rPr>
          <w:rFonts w:cs="Arial"/>
        </w:rPr>
        <w:t>) – viz tabulky č. 7 a 16 v příloze. Největší objemy dávek byly vyplaceny v krajích s vysokou nezaměstnaností – Moravskoslezském (544,4 mil. Kč) a Ústeckém  (414,3 mil. Kč).</w:t>
      </w:r>
    </w:p>
    <w:p w:rsidR="00067E16" w:rsidRPr="00067E16" w:rsidRDefault="00067E16" w:rsidP="00067E16">
      <w:pPr>
        <w:spacing w:line="360" w:lineRule="auto"/>
        <w:jc w:val="both"/>
        <w:rPr>
          <w:rFonts w:cs="Arial"/>
        </w:rPr>
      </w:pPr>
      <w:r w:rsidRPr="00067E16">
        <w:rPr>
          <w:rFonts w:cs="Arial"/>
        </w:rPr>
        <w:tab/>
      </w:r>
      <w:r w:rsidRPr="00067E16">
        <w:rPr>
          <w:rFonts w:cs="Arial"/>
          <w:bCs/>
        </w:rPr>
        <w:t>Výdaje na</w:t>
      </w:r>
      <w:r w:rsidRPr="00067E16">
        <w:rPr>
          <w:rFonts w:cs="Arial"/>
          <w:b/>
        </w:rPr>
        <w:t xml:space="preserve"> příspěvek na živobytí </w:t>
      </w:r>
      <w:r w:rsidRPr="00067E16">
        <w:rPr>
          <w:rFonts w:cs="Arial"/>
        </w:rPr>
        <w:t xml:space="preserve">(jejichž podíl činil ve sledovaném období 68,2 % z úhrnného objemu prostředků na dávky pomoci v hmotné nouzi) klesly </w:t>
      </w:r>
      <w:r w:rsidRPr="00067E16">
        <w:rPr>
          <w:rFonts w:cs="Arial"/>
          <w:b/>
        </w:rPr>
        <w:t>na 1,7 mld. Kč</w:t>
      </w:r>
      <w:r w:rsidRPr="00067E16">
        <w:rPr>
          <w:rFonts w:cs="Arial"/>
        </w:rPr>
        <w:t xml:space="preserve"> a byly o 0,3 mld. Kč</w:t>
      </w:r>
      <w:r w:rsidRPr="00067E16">
        <w:rPr>
          <w:rFonts w:cs="Arial"/>
          <w:b/>
        </w:rPr>
        <w:t xml:space="preserve"> (o 13,7 %) nižší </w:t>
      </w:r>
      <w:r w:rsidRPr="00067E16">
        <w:rPr>
          <w:rFonts w:cs="Arial"/>
        </w:rPr>
        <w:t>než ve stejném období předchozího roku.</w:t>
      </w:r>
      <w:r w:rsidRPr="00067E16">
        <w:rPr>
          <w:rFonts w:cs="Arial"/>
          <w:b/>
        </w:rPr>
        <w:t xml:space="preserve"> </w:t>
      </w:r>
      <w:r w:rsidRPr="00067E16">
        <w:rPr>
          <w:rFonts w:cs="Arial"/>
        </w:rPr>
        <w:t>Meziročně byly nižší ve všech krajích.</w:t>
      </w:r>
    </w:p>
    <w:p w:rsidR="00067E16" w:rsidRPr="00067E16" w:rsidRDefault="00067E16" w:rsidP="00067E16">
      <w:pPr>
        <w:spacing w:line="360" w:lineRule="auto"/>
        <w:jc w:val="both"/>
        <w:rPr>
          <w:rFonts w:cs="Arial"/>
        </w:rPr>
      </w:pPr>
    </w:p>
    <w:p w:rsidR="00067E16" w:rsidRPr="00067E16" w:rsidRDefault="00067E16" w:rsidP="00067E16">
      <w:pPr>
        <w:spacing w:line="360" w:lineRule="auto"/>
        <w:jc w:val="both"/>
        <w:rPr>
          <w:rFonts w:cs="Arial"/>
        </w:rPr>
      </w:pPr>
      <w:r w:rsidRPr="00067E16">
        <w:rPr>
          <w:rFonts w:cs="Arial"/>
          <w:bCs/>
          <w:szCs w:val="24"/>
        </w:rPr>
        <w:lastRenderedPageBreak/>
        <w:tab/>
      </w:r>
      <w:r w:rsidRPr="00067E16">
        <w:rPr>
          <w:rFonts w:cs="Arial"/>
        </w:rPr>
        <w:t>Na</w:t>
      </w:r>
      <w:r w:rsidRPr="00067E16">
        <w:rPr>
          <w:rFonts w:cs="Arial"/>
          <w:b/>
          <w:bCs/>
        </w:rPr>
        <w:t xml:space="preserve"> doplat</w:t>
      </w:r>
      <w:r w:rsidR="00575A4A">
        <w:rPr>
          <w:rFonts w:cs="Arial"/>
          <w:b/>
          <w:bCs/>
        </w:rPr>
        <w:t>ek</w:t>
      </w:r>
      <w:r w:rsidRPr="00067E16">
        <w:rPr>
          <w:rFonts w:cs="Arial"/>
          <w:b/>
          <w:bCs/>
        </w:rPr>
        <w:t xml:space="preserve"> na bydlení</w:t>
      </w:r>
      <w:r w:rsidRPr="00067E16">
        <w:rPr>
          <w:rFonts w:cs="Arial"/>
        </w:rPr>
        <w:t xml:space="preserve">, který představuje 30,6 % z úhrnu dávek pomoci v hmotné nouzi, bylo vyplaceno </w:t>
      </w:r>
      <w:r w:rsidRPr="00067E16">
        <w:rPr>
          <w:rFonts w:cs="Arial"/>
          <w:b/>
        </w:rPr>
        <w:t>747,1 mil. Kč,</w:t>
      </w:r>
      <w:r w:rsidRPr="00067E16">
        <w:rPr>
          <w:rFonts w:cs="Arial"/>
        </w:rPr>
        <w:t xml:space="preserve"> tj. </w:t>
      </w:r>
      <w:r w:rsidRPr="00067E16">
        <w:rPr>
          <w:rFonts w:cs="Arial"/>
          <w:b/>
        </w:rPr>
        <w:t>o 6,7 % méně</w:t>
      </w:r>
      <w:r w:rsidRPr="00067E16">
        <w:rPr>
          <w:rFonts w:cs="Arial"/>
        </w:rPr>
        <w:t xml:space="preserve"> než v 1. čtvrtletí 2015. </w:t>
      </w:r>
    </w:p>
    <w:p w:rsidR="00067E16" w:rsidRPr="00067E16" w:rsidRDefault="00067E16" w:rsidP="00067E16">
      <w:pPr>
        <w:spacing w:line="360" w:lineRule="auto"/>
        <w:jc w:val="both"/>
        <w:rPr>
          <w:rFonts w:cs="Arial"/>
        </w:rPr>
      </w:pPr>
    </w:p>
    <w:p w:rsidR="00067E16" w:rsidRPr="00067E16" w:rsidRDefault="00067E16" w:rsidP="00067E16">
      <w:pPr>
        <w:spacing w:line="360" w:lineRule="auto"/>
        <w:jc w:val="both"/>
        <w:rPr>
          <w:rFonts w:cs="Arial"/>
        </w:rPr>
      </w:pPr>
    </w:p>
    <w:p w:rsidR="00067E16" w:rsidRPr="00067E16" w:rsidRDefault="00067E16" w:rsidP="00067E16">
      <w:pPr>
        <w:spacing w:line="360" w:lineRule="auto"/>
        <w:jc w:val="both"/>
        <w:rPr>
          <w:rFonts w:cs="Arial"/>
          <w:b/>
          <w:bCs/>
        </w:rPr>
      </w:pPr>
      <w:r w:rsidRPr="00067E16">
        <w:rPr>
          <w:rFonts w:cs="Arial"/>
        </w:rPr>
        <w:tab/>
      </w:r>
      <w:r w:rsidRPr="00067E16">
        <w:rPr>
          <w:rFonts w:cs="Arial"/>
          <w:b/>
          <w:bCs/>
        </w:rPr>
        <w:t>Výdaje na</w:t>
      </w:r>
      <w:r w:rsidRPr="00067E16">
        <w:rPr>
          <w:rFonts w:cs="Arial"/>
        </w:rPr>
        <w:t xml:space="preserve"> </w:t>
      </w:r>
      <w:r w:rsidRPr="00067E16">
        <w:rPr>
          <w:rFonts w:cs="Arial"/>
          <w:b/>
        </w:rPr>
        <w:t>mimořádnou okamžitou pomoc</w:t>
      </w:r>
      <w:r w:rsidRPr="00067E16">
        <w:rPr>
          <w:rFonts w:cs="Arial"/>
        </w:rPr>
        <w:t xml:space="preserve"> (poslední z dávek tohoto systému) se proti srovnatelnému období </w:t>
      </w:r>
      <w:r w:rsidRPr="00067E16">
        <w:rPr>
          <w:rFonts w:cs="Arial"/>
          <w:b/>
        </w:rPr>
        <w:t>snížily</w:t>
      </w:r>
      <w:r w:rsidR="00575A4A">
        <w:rPr>
          <w:rFonts w:cs="Arial"/>
        </w:rPr>
        <w:t>. Bylo na ni</w:t>
      </w:r>
      <w:r w:rsidRPr="00067E16">
        <w:rPr>
          <w:rFonts w:cs="Arial"/>
        </w:rPr>
        <w:t xml:space="preserve"> vyplaceno </w:t>
      </w:r>
      <w:r w:rsidRPr="00067E16">
        <w:rPr>
          <w:rFonts w:cs="Arial"/>
          <w:b/>
        </w:rPr>
        <w:t>29,3 mil. Kč,</w:t>
      </w:r>
      <w:r w:rsidRPr="00067E16">
        <w:rPr>
          <w:rFonts w:cs="Arial"/>
        </w:rPr>
        <w:t xml:space="preserve"> tj. </w:t>
      </w:r>
      <w:r w:rsidRPr="00067E16">
        <w:rPr>
          <w:rFonts w:cs="Arial"/>
          <w:b/>
        </w:rPr>
        <w:t>o 1,3</w:t>
      </w:r>
      <w:r w:rsidRPr="00067E16">
        <w:t> </w:t>
      </w:r>
      <w:r w:rsidRPr="00067E16">
        <w:rPr>
          <w:rFonts w:cs="Arial"/>
          <w:b/>
        </w:rPr>
        <w:t>%</w:t>
      </w:r>
      <w:r w:rsidRPr="00067E16">
        <w:rPr>
          <w:rFonts w:cs="Arial"/>
        </w:rPr>
        <w:t xml:space="preserve"> </w:t>
      </w:r>
      <w:r w:rsidRPr="00067E16">
        <w:rPr>
          <w:rFonts w:cs="Arial"/>
          <w:b/>
        </w:rPr>
        <w:t>méně</w:t>
      </w:r>
      <w:r w:rsidRPr="00067E16">
        <w:rPr>
          <w:rFonts w:cs="Arial"/>
        </w:rPr>
        <w:t xml:space="preserve"> – viz tabulku č. 17 v příloze.</w:t>
      </w:r>
    </w:p>
    <w:p w:rsidR="00067E16" w:rsidRPr="00067E16" w:rsidRDefault="00067E16" w:rsidP="00067E16">
      <w:pPr>
        <w:spacing w:line="360" w:lineRule="auto"/>
        <w:jc w:val="both"/>
        <w:rPr>
          <w:rFonts w:cs="Arial"/>
        </w:rPr>
      </w:pPr>
    </w:p>
    <w:p w:rsidR="00067E16" w:rsidRPr="00067E16" w:rsidRDefault="00067E16" w:rsidP="00067E16">
      <w:pPr>
        <w:spacing w:line="360" w:lineRule="auto"/>
        <w:jc w:val="both"/>
        <w:rPr>
          <w:rFonts w:cs="Arial"/>
        </w:rPr>
      </w:pPr>
    </w:p>
    <w:p w:rsidR="00067E16" w:rsidRPr="00067E16" w:rsidRDefault="00067E16" w:rsidP="00067E16">
      <w:pPr>
        <w:spacing w:line="360" w:lineRule="auto"/>
        <w:jc w:val="both"/>
        <w:rPr>
          <w:rFonts w:cs="Arial"/>
        </w:rPr>
      </w:pPr>
      <w:r w:rsidRPr="00067E16">
        <w:rPr>
          <w:rFonts w:cs="Arial"/>
        </w:rPr>
        <w:tab/>
      </w:r>
      <w:r w:rsidRPr="00067E16">
        <w:rPr>
          <w:rFonts w:cs="Arial"/>
          <w:b/>
          <w:u w:val="single"/>
        </w:rPr>
        <w:t>Dávky pro osoby se zdravotním postižením</w:t>
      </w:r>
      <w:r w:rsidRPr="00067E16">
        <w:rPr>
          <w:rFonts w:cs="Arial"/>
        </w:rPr>
        <w:t xml:space="preserve"> se podílely na celkových sociálních příjmech 0,4 %. Bylo na n</w:t>
      </w:r>
      <w:r w:rsidR="00575A4A">
        <w:rPr>
          <w:rFonts w:cs="Arial"/>
        </w:rPr>
        <w:t>ě</w:t>
      </w:r>
      <w:r w:rsidRPr="00067E16">
        <w:rPr>
          <w:rFonts w:cs="Arial"/>
        </w:rPr>
        <w:t xml:space="preserve"> vyplaceno </w:t>
      </w:r>
      <w:r w:rsidRPr="00067E16">
        <w:rPr>
          <w:rFonts w:cs="Arial"/>
          <w:b/>
        </w:rPr>
        <w:t>0,5 mld. Kč</w:t>
      </w:r>
      <w:r w:rsidRPr="00067E16">
        <w:rPr>
          <w:rFonts w:cs="Arial"/>
        </w:rPr>
        <w:t xml:space="preserve"> (o 1,3 % více než </w:t>
      </w:r>
      <w:r w:rsidRPr="00E27F35">
        <w:rPr>
          <w:rFonts w:cs="Arial"/>
        </w:rPr>
        <w:t xml:space="preserve">v 1. čtvrtletí 2015). V 1. čtvrtletí 2016 činily výdaje na zvláštní pomůcku 186,3 mil. Kč </w:t>
      </w:r>
      <w:r w:rsidRPr="00067E16">
        <w:rPr>
          <w:rFonts w:cs="Arial"/>
        </w:rPr>
        <w:t>(o 4,3 % více) a na příspěvky na mobilitu 281,8 mil. Kč (o 0,6 % méně) – viz tabulku č. 18 v příloze.</w:t>
      </w:r>
    </w:p>
    <w:p w:rsidR="00067E16" w:rsidRPr="00067E16" w:rsidRDefault="00067E16" w:rsidP="00067E16">
      <w:pPr>
        <w:spacing w:line="360" w:lineRule="auto"/>
        <w:jc w:val="both"/>
        <w:rPr>
          <w:rFonts w:cs="Arial"/>
        </w:rPr>
      </w:pPr>
    </w:p>
    <w:p w:rsidR="00067E16" w:rsidRPr="00067E16" w:rsidRDefault="00067E16" w:rsidP="00067E16">
      <w:pPr>
        <w:spacing w:line="360" w:lineRule="auto"/>
        <w:jc w:val="both"/>
        <w:rPr>
          <w:rFonts w:cs="Arial"/>
        </w:rPr>
      </w:pPr>
    </w:p>
    <w:p w:rsidR="00067E16" w:rsidRPr="00067E16" w:rsidRDefault="00067E16" w:rsidP="00067E16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</w:rPr>
      </w:pPr>
    </w:p>
    <w:p w:rsidR="00067E16" w:rsidRPr="00067E16" w:rsidRDefault="00067E16" w:rsidP="00067E16">
      <w:pPr>
        <w:spacing w:line="360" w:lineRule="auto"/>
        <w:jc w:val="both"/>
        <w:rPr>
          <w:rFonts w:cs="Arial"/>
        </w:rPr>
      </w:pPr>
    </w:p>
    <w:p w:rsidR="00067E16" w:rsidRPr="00067E16" w:rsidRDefault="00067E16" w:rsidP="00067E16">
      <w:pPr>
        <w:spacing w:line="360" w:lineRule="auto"/>
        <w:jc w:val="both"/>
        <w:rPr>
          <w:rFonts w:cs="Arial"/>
        </w:rPr>
      </w:pPr>
    </w:p>
    <w:p w:rsidR="00067E16" w:rsidRPr="00067E16" w:rsidRDefault="00067E16" w:rsidP="00067E16"/>
    <w:p w:rsidR="00AE1B0D" w:rsidRPr="00067E16" w:rsidRDefault="00AE1B0D" w:rsidP="000F100F">
      <w:pPr>
        <w:spacing w:line="360" w:lineRule="auto"/>
        <w:jc w:val="both"/>
        <w:rPr>
          <w:rFonts w:cs="Arial"/>
        </w:rPr>
      </w:pPr>
    </w:p>
    <w:p w:rsidR="00AE1B0D" w:rsidRPr="00067E16" w:rsidRDefault="00AE1B0D" w:rsidP="000F100F">
      <w:pPr>
        <w:spacing w:line="360" w:lineRule="auto"/>
        <w:jc w:val="both"/>
        <w:rPr>
          <w:rFonts w:cs="Arial"/>
        </w:rPr>
      </w:pPr>
    </w:p>
    <w:p w:rsidR="00AE1B0D" w:rsidRPr="00067E16" w:rsidRDefault="00AE1B0D" w:rsidP="000F100F">
      <w:pPr>
        <w:spacing w:line="360" w:lineRule="auto"/>
        <w:jc w:val="both"/>
        <w:rPr>
          <w:rFonts w:cs="Arial"/>
        </w:rPr>
      </w:pPr>
    </w:p>
    <w:p w:rsidR="00AE1B0D" w:rsidRPr="00067E16" w:rsidRDefault="00AE1B0D" w:rsidP="000F100F">
      <w:pPr>
        <w:spacing w:line="360" w:lineRule="auto"/>
        <w:jc w:val="both"/>
        <w:rPr>
          <w:rFonts w:cs="Arial"/>
        </w:rPr>
      </w:pPr>
    </w:p>
    <w:p w:rsidR="00AE1B0D" w:rsidRPr="00067E16" w:rsidRDefault="00AE1B0D" w:rsidP="000F100F">
      <w:pPr>
        <w:spacing w:line="360" w:lineRule="auto"/>
        <w:jc w:val="both"/>
        <w:rPr>
          <w:rFonts w:cs="Arial"/>
        </w:rPr>
      </w:pPr>
    </w:p>
    <w:p w:rsidR="00AE1B0D" w:rsidRDefault="00AE1B0D" w:rsidP="000F100F">
      <w:pPr>
        <w:spacing w:line="360" w:lineRule="auto"/>
        <w:jc w:val="both"/>
        <w:rPr>
          <w:rFonts w:cs="Arial"/>
        </w:rPr>
      </w:pPr>
    </w:p>
    <w:p w:rsidR="00957694" w:rsidRDefault="00957694" w:rsidP="000F100F">
      <w:pPr>
        <w:spacing w:line="360" w:lineRule="auto"/>
        <w:jc w:val="both"/>
        <w:rPr>
          <w:rFonts w:cs="Arial"/>
        </w:rPr>
      </w:pPr>
    </w:p>
    <w:p w:rsidR="00957694" w:rsidRDefault="00957694" w:rsidP="000F100F">
      <w:pPr>
        <w:spacing w:line="360" w:lineRule="auto"/>
        <w:jc w:val="both"/>
        <w:rPr>
          <w:rFonts w:cs="Arial"/>
        </w:rPr>
      </w:pPr>
    </w:p>
    <w:p w:rsidR="00957694" w:rsidRDefault="00957694" w:rsidP="000F100F">
      <w:pPr>
        <w:spacing w:line="360" w:lineRule="auto"/>
        <w:jc w:val="both"/>
        <w:rPr>
          <w:rFonts w:cs="Arial"/>
        </w:rPr>
      </w:pPr>
    </w:p>
    <w:p w:rsidR="00957694" w:rsidRDefault="00957694" w:rsidP="000F100F">
      <w:pPr>
        <w:spacing w:line="360" w:lineRule="auto"/>
        <w:jc w:val="both"/>
        <w:rPr>
          <w:rFonts w:cs="Arial"/>
        </w:rPr>
      </w:pPr>
    </w:p>
    <w:p w:rsidR="00957694" w:rsidRPr="00067E16" w:rsidRDefault="00957694" w:rsidP="000F100F">
      <w:pPr>
        <w:spacing w:line="360" w:lineRule="auto"/>
        <w:jc w:val="both"/>
        <w:rPr>
          <w:rFonts w:cs="Arial"/>
        </w:rPr>
      </w:pPr>
    </w:p>
    <w:p w:rsidR="00AE1B0D" w:rsidRPr="00067E16" w:rsidRDefault="00AE1B0D" w:rsidP="000F100F">
      <w:pPr>
        <w:spacing w:line="360" w:lineRule="auto"/>
        <w:jc w:val="both"/>
        <w:rPr>
          <w:rFonts w:cs="Arial"/>
        </w:rPr>
      </w:pPr>
    </w:p>
    <w:p w:rsidR="00AE1B0D" w:rsidRPr="00067E16" w:rsidRDefault="00AE1B0D" w:rsidP="000F100F">
      <w:pPr>
        <w:spacing w:line="360" w:lineRule="auto"/>
        <w:jc w:val="both"/>
        <w:rPr>
          <w:rFonts w:cs="Arial"/>
        </w:rPr>
      </w:pPr>
    </w:p>
    <w:p w:rsidR="00F406E1" w:rsidRPr="00067E16" w:rsidRDefault="00F406E1" w:rsidP="00F406E1">
      <w:pPr>
        <w:rPr>
          <w:rFonts w:cs="Arial"/>
          <w:b/>
          <w:i/>
          <w:iCs/>
          <w:sz w:val="32"/>
          <w:szCs w:val="36"/>
        </w:rPr>
      </w:pPr>
      <w:r w:rsidRPr="00067E16">
        <w:rPr>
          <w:rFonts w:cs="Arial"/>
          <w:b/>
          <w:iCs/>
          <w:sz w:val="36"/>
          <w:szCs w:val="36"/>
        </w:rPr>
        <w:lastRenderedPageBreak/>
        <w:t>2.</w:t>
      </w:r>
      <w:r w:rsidRPr="00067E16">
        <w:rPr>
          <w:rFonts w:cs="Arial"/>
          <w:b/>
          <w:i/>
          <w:iCs/>
          <w:sz w:val="36"/>
          <w:szCs w:val="36"/>
        </w:rPr>
        <w:t xml:space="preserve"> </w:t>
      </w:r>
      <w:r w:rsidRPr="00067E16">
        <w:rPr>
          <w:rFonts w:cs="Arial"/>
          <w:b/>
          <w:iCs/>
          <w:sz w:val="36"/>
          <w:szCs w:val="36"/>
        </w:rPr>
        <w:t>Spotřebitelské ceny a životní náklady</w:t>
      </w:r>
    </w:p>
    <w:p w:rsidR="00F406E1" w:rsidRPr="00067E16" w:rsidRDefault="00F406E1" w:rsidP="00F406E1">
      <w:pPr>
        <w:spacing w:line="360" w:lineRule="auto"/>
        <w:rPr>
          <w:rFonts w:cs="Arial"/>
          <w:b/>
          <w:szCs w:val="36"/>
        </w:rPr>
      </w:pPr>
    </w:p>
    <w:p w:rsidR="00F406E1" w:rsidRPr="00067E16" w:rsidRDefault="00F406E1" w:rsidP="00F406E1">
      <w:pPr>
        <w:spacing w:line="360" w:lineRule="auto"/>
        <w:rPr>
          <w:rFonts w:cs="Arial"/>
          <w:b/>
          <w:szCs w:val="36"/>
        </w:rPr>
      </w:pPr>
    </w:p>
    <w:p w:rsidR="00F406E1" w:rsidRPr="00067E16" w:rsidRDefault="00F406E1" w:rsidP="00F406E1">
      <w:pPr>
        <w:spacing w:after="240" w:line="360" w:lineRule="auto"/>
        <w:jc w:val="both"/>
      </w:pPr>
      <w:r w:rsidRPr="00067E16">
        <w:rPr>
          <w:rFonts w:cs="Arial"/>
          <w:b/>
          <w:szCs w:val="36"/>
        </w:rPr>
        <w:tab/>
      </w:r>
      <w:r w:rsidRPr="00067E16">
        <w:rPr>
          <w:rFonts w:cs="Arial"/>
          <w:szCs w:val="36"/>
        </w:rPr>
        <w:t>Mimořádně</w:t>
      </w:r>
      <w:r w:rsidRPr="00067E16">
        <w:rPr>
          <w:rFonts w:cs="Arial"/>
          <w:b/>
          <w:szCs w:val="36"/>
        </w:rPr>
        <w:t xml:space="preserve"> </w:t>
      </w:r>
      <w:r w:rsidRPr="00067E16">
        <w:rPr>
          <w:rFonts w:cs="Arial"/>
          <w:szCs w:val="36"/>
        </w:rPr>
        <w:t>nízký</w:t>
      </w:r>
      <w:r w:rsidRPr="00067E16">
        <w:rPr>
          <w:rFonts w:cs="Arial"/>
          <w:b/>
          <w:szCs w:val="36"/>
        </w:rPr>
        <w:t xml:space="preserve"> n</w:t>
      </w:r>
      <w:r w:rsidRPr="00067E16">
        <w:rPr>
          <w:b/>
        </w:rPr>
        <w:t>árůst</w:t>
      </w:r>
      <w:r w:rsidRPr="00067E16">
        <w:rPr>
          <w:b/>
          <w:bCs/>
        </w:rPr>
        <w:t xml:space="preserve"> spotřebitelských cen</w:t>
      </w:r>
      <w:r w:rsidRPr="00067E16">
        <w:t xml:space="preserve"> a životních nákladů domácností z posledních dvou let se letos </w:t>
      </w:r>
      <w:r w:rsidRPr="00067E16">
        <w:rPr>
          <w:b/>
        </w:rPr>
        <w:t xml:space="preserve">v lednu až březnu </w:t>
      </w:r>
      <w:r w:rsidRPr="00067E16">
        <w:t>neopakoval</w:t>
      </w:r>
      <w:r w:rsidRPr="00067E16">
        <w:rPr>
          <w:b/>
        </w:rPr>
        <w:t xml:space="preserve"> </w:t>
      </w:r>
      <w:r w:rsidRPr="00067E16">
        <w:t xml:space="preserve">a činil meziročně </w:t>
      </w:r>
      <w:r w:rsidRPr="00067E16">
        <w:rPr>
          <w:b/>
        </w:rPr>
        <w:t>0,5 %</w:t>
      </w:r>
      <w:r w:rsidRPr="00067E16">
        <w:rPr>
          <w:b/>
          <w:bCs/>
        </w:rPr>
        <w:t xml:space="preserve"> </w:t>
      </w:r>
      <w:r w:rsidRPr="00067E16">
        <w:t>(ve stejném období let 2014 a 2015 to bylo 0,2 %, resp. 0,1</w:t>
      </w:r>
      <w:r w:rsidR="00A6130C">
        <w:t> </w:t>
      </w:r>
      <w:r w:rsidRPr="00067E16">
        <w:t xml:space="preserve">%)       – viz tabulku č. </w:t>
      </w:r>
      <w:r w:rsidR="00D40CAB" w:rsidRPr="00067E16">
        <w:t>19</w:t>
      </w:r>
      <w:r w:rsidRPr="00067E16">
        <w:t xml:space="preserve"> v příloze.</w:t>
      </w:r>
    </w:p>
    <w:p w:rsidR="00F406E1" w:rsidRPr="00067E16" w:rsidRDefault="00F406E1" w:rsidP="00F406E1">
      <w:pPr>
        <w:spacing w:line="360" w:lineRule="auto"/>
        <w:jc w:val="both"/>
      </w:pPr>
      <w:r w:rsidRPr="00067E16">
        <w:tab/>
      </w:r>
      <w:r w:rsidRPr="00067E16">
        <w:rPr>
          <w:b/>
        </w:rPr>
        <w:t>Větší</w:t>
      </w:r>
      <w:r w:rsidRPr="00067E16">
        <w:t xml:space="preserve"> byl zejména měsíční </w:t>
      </w:r>
      <w:r w:rsidRPr="00067E16">
        <w:rPr>
          <w:b/>
        </w:rPr>
        <w:t xml:space="preserve">přírůstek </w:t>
      </w:r>
      <w:r w:rsidRPr="00067E16">
        <w:t xml:space="preserve">spotřebitelských </w:t>
      </w:r>
      <w:r w:rsidRPr="00067E16">
        <w:rPr>
          <w:b/>
          <w:bCs/>
        </w:rPr>
        <w:t>cen v lednu</w:t>
      </w:r>
      <w:r w:rsidRPr="00067E16">
        <w:t xml:space="preserve"> (0,6 %), což ovlivnily tradičně</w:t>
      </w:r>
      <w:r w:rsidRPr="00067E16">
        <w:rPr>
          <w:b/>
        </w:rPr>
        <w:t xml:space="preserve"> vyšší </w:t>
      </w:r>
      <w:r w:rsidRPr="00067E16">
        <w:t>tržní</w:t>
      </w:r>
      <w:r w:rsidRPr="00067E16">
        <w:rPr>
          <w:b/>
        </w:rPr>
        <w:t xml:space="preserve"> ceny „potravin a nealkoholických nápojů“ </w:t>
      </w:r>
      <w:r w:rsidRPr="00067E16">
        <w:t xml:space="preserve">(dražší zelenina, mléčné výrobky), </w:t>
      </w:r>
      <w:r w:rsidRPr="00067E16">
        <w:rPr>
          <w:b/>
        </w:rPr>
        <w:t xml:space="preserve">„alkoholických nápojů a tabáku“ </w:t>
      </w:r>
      <w:r w:rsidRPr="00067E16">
        <w:t xml:space="preserve">(vliv tržního navýšení cen alkoholu spolu s dílčím dopadem vyšších spotřebních daní z tabáku) </w:t>
      </w:r>
      <w:r w:rsidRPr="00067E16">
        <w:rPr>
          <w:b/>
        </w:rPr>
        <w:t>a </w:t>
      </w:r>
      <w:r w:rsidRPr="00067E16">
        <w:t xml:space="preserve">ve výdajové skupině </w:t>
      </w:r>
      <w:r w:rsidRPr="00067E16">
        <w:rPr>
          <w:b/>
        </w:rPr>
        <w:t xml:space="preserve">„bydlení, voda, energie, paliva“, </w:t>
      </w:r>
      <w:r w:rsidRPr="00067E16">
        <w:t xml:space="preserve">kde vzrostly ceny všech hlavních komponentů souvisejících s bydlením, tj. elektřiny, čistého nájemného, vodného, stočného a poplatků za odvoz odpadků; výjimkou byly ceny zemního plynu a tepla, které mírně klesly. Lednový </w:t>
      </w:r>
      <w:r w:rsidRPr="00067E16">
        <w:rPr>
          <w:b/>
        </w:rPr>
        <w:t xml:space="preserve">cenový propad ve skupině „doprava“ </w:t>
      </w:r>
      <w:r w:rsidRPr="00067E16">
        <w:t xml:space="preserve">(vlivem 6 měsíců trvajícího poklesu cen pohonných hmot) zlevnil benzín a motorovou naftu o dalších 3,7 % (např. benzin Natural 95 byl </w:t>
      </w:r>
      <w:r w:rsidR="00A6130C">
        <w:t xml:space="preserve">v lednu </w:t>
      </w:r>
      <w:r w:rsidRPr="00067E16">
        <w:t>prodáván u čerpacích stanic v průměru za 2</w:t>
      </w:r>
      <w:r w:rsidR="00A6130C">
        <w:t>7</w:t>
      </w:r>
      <w:r w:rsidRPr="00067E16">
        <w:t>,</w:t>
      </w:r>
      <w:r w:rsidR="00A6130C">
        <w:t>91</w:t>
      </w:r>
      <w:r w:rsidRPr="00067E16">
        <w:t xml:space="preserve"> Kč/l, což bylo největší snížení od října 2009).</w:t>
      </w:r>
    </w:p>
    <w:p w:rsidR="00F406E1" w:rsidRPr="00067E16" w:rsidRDefault="00F406E1" w:rsidP="00F406E1">
      <w:pPr>
        <w:spacing w:line="360" w:lineRule="auto"/>
        <w:jc w:val="both"/>
      </w:pPr>
    </w:p>
    <w:p w:rsidR="00F406E1" w:rsidRPr="00067E16" w:rsidRDefault="00F406E1" w:rsidP="00F406E1">
      <w:pPr>
        <w:spacing w:line="360" w:lineRule="auto"/>
        <w:jc w:val="both"/>
      </w:pPr>
      <w:r w:rsidRPr="00067E16">
        <w:tab/>
      </w:r>
      <w:r w:rsidRPr="00067E16">
        <w:rPr>
          <w:b/>
        </w:rPr>
        <w:t xml:space="preserve">V úhrnu února a března cenová inflace </w:t>
      </w:r>
      <w:r w:rsidRPr="00067E16">
        <w:t xml:space="preserve">víceméně </w:t>
      </w:r>
      <w:r w:rsidRPr="00067E16">
        <w:rPr>
          <w:b/>
        </w:rPr>
        <w:t xml:space="preserve">stagnovala, </w:t>
      </w:r>
      <w:r w:rsidRPr="00067E16">
        <w:t xml:space="preserve">převážně oboustranné cenové pohyby </w:t>
      </w:r>
      <w:r w:rsidRPr="00067E16">
        <w:rPr>
          <w:bCs/>
        </w:rPr>
        <w:t xml:space="preserve">způsobilo zejména </w:t>
      </w:r>
      <w:r w:rsidRPr="00067E16">
        <w:rPr>
          <w:b/>
          <w:bCs/>
        </w:rPr>
        <w:t>zvýšení a poté snížení cen</w:t>
      </w:r>
      <w:r w:rsidRPr="00067E16">
        <w:rPr>
          <w:bCs/>
        </w:rPr>
        <w:t xml:space="preserve"> sezónních </w:t>
      </w:r>
      <w:r w:rsidRPr="00067E16">
        <w:rPr>
          <w:b/>
          <w:bCs/>
        </w:rPr>
        <w:t>zimních rekreací</w:t>
      </w:r>
      <w:r w:rsidRPr="00067E16">
        <w:rPr>
          <w:bCs/>
        </w:rPr>
        <w:t xml:space="preserve"> </w:t>
      </w:r>
      <w:r w:rsidRPr="00067E16">
        <w:rPr>
          <w:b/>
          <w:bCs/>
        </w:rPr>
        <w:t>a</w:t>
      </w:r>
      <w:r w:rsidRPr="00067E16">
        <w:rPr>
          <w:bCs/>
        </w:rPr>
        <w:t xml:space="preserve"> některých </w:t>
      </w:r>
      <w:r w:rsidRPr="00067E16">
        <w:rPr>
          <w:b/>
          <w:bCs/>
        </w:rPr>
        <w:t>potravin</w:t>
      </w:r>
      <w:r w:rsidRPr="00067E16">
        <w:rPr>
          <w:bCs/>
        </w:rPr>
        <w:t xml:space="preserve"> (mj. zelenina, ovoce</w:t>
      </w:r>
      <w:r w:rsidRPr="00067E16">
        <w:t xml:space="preserve">, běžné pečivo). V obou měsících se již v rostoucích cenách cigaret projevily </w:t>
      </w:r>
      <w:r w:rsidRPr="00067E16">
        <w:rPr>
          <w:b/>
        </w:rPr>
        <w:t xml:space="preserve">progresivnější spotřební daně </w:t>
      </w:r>
      <w:r w:rsidRPr="00067E16">
        <w:t xml:space="preserve">(odezníval „efekt“ z předzásobení prodejců). </w:t>
      </w:r>
      <w:r w:rsidRPr="00067E16">
        <w:rPr>
          <w:iCs/>
        </w:rPr>
        <w:t xml:space="preserve">Na snižování cenové hladiny působil </w:t>
      </w:r>
      <w:r w:rsidRPr="00067E16">
        <w:rPr>
          <w:b/>
          <w:iCs/>
        </w:rPr>
        <w:t>ještě v únoru pokles cen pohonných hmot,</w:t>
      </w:r>
      <w:r w:rsidRPr="00067E16">
        <w:rPr>
          <w:iCs/>
        </w:rPr>
        <w:t xml:space="preserve"> zatímco </w:t>
      </w:r>
      <w:r w:rsidRPr="00067E16">
        <w:rPr>
          <w:b/>
          <w:iCs/>
        </w:rPr>
        <w:t>v březnu</w:t>
      </w:r>
      <w:r w:rsidRPr="00067E16">
        <w:rPr>
          <w:iCs/>
        </w:rPr>
        <w:t xml:space="preserve"> </w:t>
      </w:r>
      <w:r w:rsidR="00A638BF" w:rsidRPr="00067E16">
        <w:rPr>
          <w:b/>
          <w:iCs/>
        </w:rPr>
        <w:t xml:space="preserve">se </w:t>
      </w:r>
      <w:r w:rsidRPr="00067E16">
        <w:rPr>
          <w:iCs/>
        </w:rPr>
        <w:t xml:space="preserve">pokles cen </w:t>
      </w:r>
      <w:r w:rsidRPr="00067E16">
        <w:rPr>
          <w:b/>
          <w:iCs/>
        </w:rPr>
        <w:t>téměř zastavil</w:t>
      </w:r>
      <w:r w:rsidRPr="00067E16">
        <w:rPr>
          <w:iCs/>
        </w:rPr>
        <w:t xml:space="preserve"> –</w:t>
      </w:r>
      <w:r w:rsidRPr="00067E16">
        <w:t xml:space="preserve"> podrobněji viz tabulky č. 1</w:t>
      </w:r>
      <w:r w:rsidR="00D40CAB" w:rsidRPr="00067E16">
        <w:t>9</w:t>
      </w:r>
      <w:r w:rsidRPr="00067E16">
        <w:t xml:space="preserve"> a 2</w:t>
      </w:r>
      <w:r w:rsidR="00D40CAB" w:rsidRPr="00067E16">
        <w:t>0</w:t>
      </w:r>
      <w:r w:rsidRPr="00067E16">
        <w:t xml:space="preserve"> v příloze.</w:t>
      </w:r>
    </w:p>
    <w:p w:rsidR="00F406E1" w:rsidRPr="00067E16" w:rsidRDefault="00F406E1" w:rsidP="00F406E1">
      <w:pPr>
        <w:spacing w:line="360" w:lineRule="auto"/>
        <w:jc w:val="both"/>
      </w:pPr>
    </w:p>
    <w:p w:rsidR="00F406E1" w:rsidRPr="00067E16" w:rsidRDefault="00F406E1" w:rsidP="00F406E1">
      <w:pPr>
        <w:spacing w:line="360" w:lineRule="auto"/>
        <w:jc w:val="both"/>
      </w:pPr>
      <w:r w:rsidRPr="00067E16">
        <w:tab/>
      </w:r>
      <w:r w:rsidRPr="00067E16">
        <w:rPr>
          <w:b/>
        </w:rPr>
        <w:t xml:space="preserve">Meziročně se zvýšily spotřebitelské ceny v 1. čtvrtletí 2016 o 0,5 %, </w:t>
      </w:r>
      <w:r w:rsidRPr="00067E16">
        <w:t xml:space="preserve">tj. o 0,4 p. b. více než před rokem. Příčinou bylo </w:t>
      </w:r>
      <w:r w:rsidRPr="00067E16">
        <w:rPr>
          <w:b/>
        </w:rPr>
        <w:t xml:space="preserve">postupné odeznívání předchozího efektu výrazného zlevnění benzínu </w:t>
      </w:r>
      <w:r w:rsidRPr="00067E16">
        <w:t>z přelomu let 2014 a 2015</w:t>
      </w:r>
      <w:r w:rsidRPr="00067E16">
        <w:rPr>
          <w:b/>
        </w:rPr>
        <w:t xml:space="preserve"> i zrušení regulačních poplatků ve zdravotnictví.</w:t>
      </w:r>
      <w:r w:rsidRPr="00067E16">
        <w:t xml:space="preserve"> Meziročně se navíc zvýšily regulované ceny v bydlení a tržní ceny odívání, obuvi, rekreací a ve skupině zdraví. Poměrně významné </w:t>
      </w:r>
      <w:r w:rsidRPr="00067E16">
        <w:rPr>
          <w:b/>
        </w:rPr>
        <w:t xml:space="preserve">zmírnění </w:t>
      </w:r>
      <w:r w:rsidRPr="00067E16">
        <w:t xml:space="preserve">meziroční </w:t>
      </w:r>
      <w:r w:rsidRPr="00067E16">
        <w:rPr>
          <w:b/>
        </w:rPr>
        <w:t>inflace</w:t>
      </w:r>
      <w:r w:rsidRPr="00067E16">
        <w:t xml:space="preserve"> </w:t>
      </w:r>
      <w:r w:rsidRPr="00067E16">
        <w:rPr>
          <w:b/>
        </w:rPr>
        <w:t xml:space="preserve">zajistil </w:t>
      </w:r>
      <w:r w:rsidRPr="00067E16">
        <w:t>naopak</w:t>
      </w:r>
      <w:r w:rsidRPr="00067E16">
        <w:rPr>
          <w:b/>
        </w:rPr>
        <w:t xml:space="preserve"> vývoj cen potravinářského </w:t>
      </w:r>
      <w:r w:rsidRPr="00067E16">
        <w:rPr>
          <w:b/>
        </w:rPr>
        <w:lastRenderedPageBreak/>
        <w:t>sortimentu.</w:t>
      </w:r>
      <w:r w:rsidRPr="00067E16">
        <w:t xml:space="preserve"> Regulované ceny vzrostly meziročně </w:t>
      </w:r>
      <w:r w:rsidR="00A6130C">
        <w:t>o</w:t>
      </w:r>
      <w:r w:rsidRPr="00067E16">
        <w:t xml:space="preserve"> 0,7</w:t>
      </w:r>
      <w:r w:rsidR="00A6130C">
        <w:t> </w:t>
      </w:r>
      <w:r w:rsidRPr="00067E16">
        <w:t xml:space="preserve">% a ceny určované trhem </w:t>
      </w:r>
      <w:r w:rsidR="00A6130C">
        <w:t>o </w:t>
      </w:r>
      <w:r w:rsidRPr="00067E16">
        <w:t>0,4</w:t>
      </w:r>
      <w:r w:rsidR="00A6130C">
        <w:t> </w:t>
      </w:r>
      <w:r w:rsidRPr="00067E16">
        <w:t xml:space="preserve">% </w:t>
      </w:r>
      <w:r w:rsidR="00A6130C">
        <w:t>–</w:t>
      </w:r>
      <w:r w:rsidRPr="00067E16">
        <w:t xml:space="preserve"> viz tabulku č. 2</w:t>
      </w:r>
      <w:r w:rsidR="00D40CAB" w:rsidRPr="00067E16">
        <w:t>0</w:t>
      </w:r>
      <w:r w:rsidRPr="00067E16">
        <w:t>.</w:t>
      </w:r>
    </w:p>
    <w:p w:rsidR="00F406E1" w:rsidRPr="00067E16" w:rsidRDefault="00F406E1" w:rsidP="00F406E1">
      <w:pPr>
        <w:spacing w:line="360" w:lineRule="auto"/>
        <w:jc w:val="both"/>
        <w:rPr>
          <w:b/>
          <w:bCs/>
        </w:rPr>
      </w:pPr>
    </w:p>
    <w:p w:rsidR="00F406E1" w:rsidRPr="00067E16" w:rsidRDefault="00F406E1" w:rsidP="00F406E1">
      <w:pPr>
        <w:spacing w:line="360" w:lineRule="auto"/>
        <w:jc w:val="both"/>
        <w:rPr>
          <w:bCs/>
        </w:rPr>
      </w:pPr>
      <w:r w:rsidRPr="00067E16">
        <w:rPr>
          <w:b/>
          <w:bCs/>
        </w:rPr>
        <w:tab/>
      </w:r>
      <w:r w:rsidRPr="00067E16">
        <w:rPr>
          <w:bCs/>
        </w:rPr>
        <w:t xml:space="preserve">Ve srovnání s loňským 1. čtvrtletím se ve stejném období letošního roku zcela </w:t>
      </w:r>
      <w:r w:rsidRPr="00067E16">
        <w:rPr>
          <w:b/>
          <w:bCs/>
        </w:rPr>
        <w:t>změnila tendence ve vývoji životních nákladů domácností důchodců</w:t>
      </w:r>
      <w:r w:rsidRPr="00067E16">
        <w:rPr>
          <w:bCs/>
        </w:rPr>
        <w:t xml:space="preserve"> (</w:t>
      </w:r>
      <w:r w:rsidRPr="00067E16">
        <w:rPr>
          <w:b/>
          <w:bCs/>
        </w:rPr>
        <w:t>nárůst o 0,5 %,</w:t>
      </w:r>
      <w:r w:rsidRPr="00067E16">
        <w:rPr>
          <w:bCs/>
        </w:rPr>
        <w:t xml:space="preserve"> před rokem pokles o 0,2 %). Způsobil to dynamičtější meziroční cenový vývoj</w:t>
      </w:r>
      <w:r w:rsidRPr="00067E16">
        <w:rPr>
          <w:b/>
          <w:bCs/>
        </w:rPr>
        <w:t xml:space="preserve"> </w:t>
      </w:r>
      <w:r w:rsidRPr="00067E16">
        <w:rPr>
          <w:bCs/>
        </w:rPr>
        <w:t>nejvýznamnějších položek jejich spotřebního koše (výživa, bydlení a zdraví) a nízká základna ledna – března 2015.</w:t>
      </w:r>
    </w:p>
    <w:p w:rsidR="00F406E1" w:rsidRPr="00067E16" w:rsidRDefault="00F406E1" w:rsidP="00F406E1">
      <w:pPr>
        <w:spacing w:line="360" w:lineRule="auto"/>
        <w:jc w:val="both"/>
        <w:rPr>
          <w:bCs/>
        </w:rPr>
      </w:pPr>
    </w:p>
    <w:p w:rsidR="00F406E1" w:rsidRPr="00067E16" w:rsidRDefault="00F406E1" w:rsidP="00F406E1">
      <w:pPr>
        <w:spacing w:line="360" w:lineRule="auto"/>
        <w:jc w:val="both"/>
        <w:rPr>
          <w:bCs/>
        </w:rPr>
      </w:pPr>
      <w:r w:rsidRPr="00067E16">
        <w:rPr>
          <w:bCs/>
        </w:rPr>
        <w:tab/>
        <w:t xml:space="preserve">Stejně jako před rokem nejvíce vzrostly </w:t>
      </w:r>
      <w:r w:rsidRPr="00067E16">
        <w:rPr>
          <w:b/>
          <w:bCs/>
        </w:rPr>
        <w:t>životní náklady domácností žijících v hl. m. Praze</w:t>
      </w:r>
      <w:r w:rsidRPr="00067E16">
        <w:rPr>
          <w:bCs/>
        </w:rPr>
        <w:t xml:space="preserve"> (index </w:t>
      </w:r>
      <w:r w:rsidRPr="00067E16">
        <w:rPr>
          <w:b/>
          <w:bCs/>
        </w:rPr>
        <w:t>100,6 %</w:t>
      </w:r>
      <w:r w:rsidRPr="00067E16">
        <w:rPr>
          <w:bCs/>
        </w:rPr>
        <w:t xml:space="preserve">), kde relativně vysoce nadprůměrně </w:t>
      </w:r>
      <w:r w:rsidRPr="00067E16">
        <w:rPr>
          <w:b/>
          <w:bCs/>
        </w:rPr>
        <w:t>podražily téměř všechny hlavní komponenty bydlení</w:t>
      </w:r>
      <w:r w:rsidRPr="00067E16">
        <w:rPr>
          <w:bCs/>
        </w:rPr>
        <w:t xml:space="preserve"> (výjimku tvořily nájemné z bytu a vodné), vyšší byl i cenový nárůst odívání, obuvi a finančních služeb a pojištění v rámci „ostatního zboží a služeb“; naopak podprůměrně vzrostly pražským domácnostem</w:t>
      </w:r>
      <w:r w:rsidR="00A6130C">
        <w:rPr>
          <w:bCs/>
        </w:rPr>
        <w:t>,</w:t>
      </w:r>
      <w:r w:rsidRPr="00067E16">
        <w:rPr>
          <w:bCs/>
        </w:rPr>
        <w:t xml:space="preserve"> vzhledem k větší konkurenci mezi prodejci</w:t>
      </w:r>
      <w:r w:rsidR="00A6130C">
        <w:rPr>
          <w:bCs/>
        </w:rPr>
        <w:t>,</w:t>
      </w:r>
      <w:r w:rsidRPr="00067E16">
        <w:rPr>
          <w:bCs/>
        </w:rPr>
        <w:t xml:space="preserve"> ceny veřejného stravování, alkoholu a tabáku – blíže ke struktuře růstu životních nákladů vykazovaných typů domácností viz tabulku č. 2</w:t>
      </w:r>
      <w:r w:rsidR="00D40CAB" w:rsidRPr="00067E16">
        <w:rPr>
          <w:bCs/>
        </w:rPr>
        <w:t>0</w:t>
      </w:r>
      <w:r w:rsidRPr="00067E16">
        <w:rPr>
          <w:bCs/>
        </w:rPr>
        <w:t xml:space="preserve"> v příloze.</w:t>
      </w:r>
    </w:p>
    <w:p w:rsidR="00F406E1" w:rsidRPr="00067E16" w:rsidRDefault="00F406E1" w:rsidP="00F406E1">
      <w:pPr>
        <w:spacing w:line="360" w:lineRule="auto"/>
        <w:jc w:val="both"/>
        <w:rPr>
          <w:bCs/>
        </w:rPr>
      </w:pPr>
    </w:p>
    <w:p w:rsidR="00F406E1" w:rsidRPr="00067E16" w:rsidRDefault="00F406E1" w:rsidP="00F406E1">
      <w:pPr>
        <w:spacing w:line="360" w:lineRule="auto"/>
        <w:jc w:val="both"/>
        <w:rPr>
          <w:bCs/>
        </w:rPr>
      </w:pPr>
    </w:p>
    <w:p w:rsidR="00F406E1" w:rsidRPr="00067E16" w:rsidRDefault="00F406E1" w:rsidP="00F406E1">
      <w:pPr>
        <w:spacing w:line="360" w:lineRule="auto"/>
        <w:jc w:val="both"/>
        <w:rPr>
          <w:bCs/>
        </w:rPr>
      </w:pPr>
    </w:p>
    <w:p w:rsidR="00F406E1" w:rsidRPr="00067E16" w:rsidRDefault="00F406E1" w:rsidP="00F406E1">
      <w:pPr>
        <w:spacing w:line="360" w:lineRule="auto"/>
        <w:jc w:val="both"/>
        <w:rPr>
          <w:bCs/>
        </w:rPr>
      </w:pPr>
    </w:p>
    <w:p w:rsidR="00F406E1" w:rsidRPr="00067E16" w:rsidRDefault="00F406E1" w:rsidP="00F406E1">
      <w:pPr>
        <w:spacing w:line="360" w:lineRule="auto"/>
        <w:jc w:val="both"/>
        <w:rPr>
          <w:bCs/>
        </w:rPr>
      </w:pPr>
    </w:p>
    <w:p w:rsidR="00F406E1" w:rsidRPr="00067E16" w:rsidRDefault="00F406E1" w:rsidP="00F406E1">
      <w:pPr>
        <w:spacing w:line="360" w:lineRule="auto"/>
        <w:jc w:val="both"/>
        <w:rPr>
          <w:bCs/>
        </w:rPr>
      </w:pPr>
    </w:p>
    <w:p w:rsidR="00F406E1" w:rsidRPr="00067E16" w:rsidRDefault="00F406E1" w:rsidP="00F406E1">
      <w:pPr>
        <w:spacing w:line="360" w:lineRule="auto"/>
        <w:jc w:val="both"/>
        <w:rPr>
          <w:bCs/>
        </w:rPr>
      </w:pPr>
    </w:p>
    <w:p w:rsidR="00F406E1" w:rsidRPr="00067E16" w:rsidRDefault="00F406E1" w:rsidP="00F406E1">
      <w:pPr>
        <w:spacing w:line="360" w:lineRule="auto"/>
        <w:jc w:val="both"/>
        <w:rPr>
          <w:bCs/>
        </w:rPr>
      </w:pPr>
    </w:p>
    <w:p w:rsidR="00F406E1" w:rsidRPr="00067E16" w:rsidRDefault="00F406E1" w:rsidP="00F406E1">
      <w:pPr>
        <w:spacing w:line="360" w:lineRule="auto"/>
        <w:jc w:val="both"/>
        <w:rPr>
          <w:bCs/>
        </w:rPr>
      </w:pPr>
    </w:p>
    <w:p w:rsidR="00F406E1" w:rsidRPr="00067E16" w:rsidRDefault="00F406E1" w:rsidP="00F406E1">
      <w:pPr>
        <w:spacing w:line="360" w:lineRule="auto"/>
        <w:jc w:val="both"/>
        <w:rPr>
          <w:bCs/>
        </w:rPr>
      </w:pPr>
    </w:p>
    <w:p w:rsidR="00F406E1" w:rsidRPr="00067E16" w:rsidRDefault="00F406E1" w:rsidP="00F406E1">
      <w:pPr>
        <w:spacing w:line="360" w:lineRule="auto"/>
        <w:jc w:val="both"/>
        <w:rPr>
          <w:bCs/>
        </w:rPr>
      </w:pPr>
    </w:p>
    <w:p w:rsidR="00F406E1" w:rsidRPr="00067E16" w:rsidRDefault="00F406E1" w:rsidP="00F406E1">
      <w:pPr>
        <w:spacing w:line="360" w:lineRule="auto"/>
        <w:jc w:val="both"/>
        <w:rPr>
          <w:bCs/>
        </w:rPr>
      </w:pPr>
    </w:p>
    <w:p w:rsidR="00F406E1" w:rsidRPr="00067E16" w:rsidRDefault="00F406E1" w:rsidP="00F406E1">
      <w:pPr>
        <w:spacing w:line="360" w:lineRule="auto"/>
        <w:jc w:val="both"/>
        <w:rPr>
          <w:bCs/>
        </w:rPr>
      </w:pPr>
    </w:p>
    <w:p w:rsidR="00F406E1" w:rsidRPr="00067E16" w:rsidRDefault="00F406E1" w:rsidP="00F406E1">
      <w:pPr>
        <w:spacing w:line="360" w:lineRule="auto"/>
        <w:jc w:val="both"/>
        <w:rPr>
          <w:bCs/>
        </w:rPr>
      </w:pPr>
    </w:p>
    <w:p w:rsidR="00F406E1" w:rsidRPr="00067E16" w:rsidRDefault="00F406E1" w:rsidP="00F406E1">
      <w:pPr>
        <w:spacing w:line="360" w:lineRule="auto"/>
        <w:jc w:val="both"/>
        <w:rPr>
          <w:bCs/>
        </w:rPr>
      </w:pPr>
    </w:p>
    <w:p w:rsidR="00F406E1" w:rsidRPr="00067E16" w:rsidRDefault="00F406E1" w:rsidP="00F406E1">
      <w:pPr>
        <w:spacing w:line="360" w:lineRule="auto"/>
        <w:jc w:val="both"/>
        <w:rPr>
          <w:bCs/>
        </w:rPr>
      </w:pPr>
    </w:p>
    <w:p w:rsidR="006E167F" w:rsidRPr="00067E16" w:rsidRDefault="006E167F" w:rsidP="006E167F">
      <w:pPr>
        <w:spacing w:line="360" w:lineRule="auto"/>
        <w:jc w:val="both"/>
        <w:rPr>
          <w:b/>
          <w:bCs/>
          <w:sz w:val="36"/>
        </w:rPr>
      </w:pPr>
      <w:r w:rsidRPr="00067E16">
        <w:rPr>
          <w:b/>
          <w:bCs/>
          <w:sz w:val="36"/>
        </w:rPr>
        <w:lastRenderedPageBreak/>
        <w:t>3. Peněžní výdaje, úvěry a úspory domácností</w:t>
      </w:r>
    </w:p>
    <w:p w:rsidR="006E167F" w:rsidRPr="00067E16" w:rsidRDefault="006E167F" w:rsidP="006E167F">
      <w:pPr>
        <w:spacing w:line="360" w:lineRule="auto"/>
        <w:jc w:val="both"/>
      </w:pPr>
    </w:p>
    <w:p w:rsidR="006E167F" w:rsidRPr="00067E16" w:rsidRDefault="006E167F" w:rsidP="006E167F">
      <w:pPr>
        <w:spacing w:line="360" w:lineRule="auto"/>
        <w:jc w:val="both"/>
      </w:pPr>
    </w:p>
    <w:p w:rsidR="006E167F" w:rsidRPr="00067E16" w:rsidRDefault="006E167F" w:rsidP="006E167F">
      <w:pPr>
        <w:spacing w:line="360" w:lineRule="auto"/>
        <w:jc w:val="both"/>
      </w:pPr>
      <w:r w:rsidRPr="00067E16">
        <w:tab/>
        <w:t>Ze statistiky národních účtů ČSÚ vyplývá, že k</w:t>
      </w:r>
      <w:r w:rsidRPr="00067E16">
        <w:rPr>
          <w:b/>
        </w:rPr>
        <w:t xml:space="preserve"> pozitivnímu vývoji ekonomiky významně přispěla dynamika výdajů na konečnou spotřebu </w:t>
      </w:r>
      <w:r w:rsidRPr="00067E16">
        <w:t xml:space="preserve">(podíl na přírůstku HDP představoval jednu polovinu), </w:t>
      </w:r>
      <w:r w:rsidRPr="00067E16">
        <w:rPr>
          <w:b/>
        </w:rPr>
        <w:t>tj. výdaje na trhu zboží a služeb.</w:t>
      </w:r>
    </w:p>
    <w:p w:rsidR="006E167F" w:rsidRPr="00067E16" w:rsidRDefault="006E167F" w:rsidP="006E167F">
      <w:pPr>
        <w:spacing w:line="360" w:lineRule="auto"/>
        <w:jc w:val="both"/>
      </w:pPr>
    </w:p>
    <w:p w:rsidR="006E167F" w:rsidRPr="00067E16" w:rsidRDefault="006E167F" w:rsidP="006E167F">
      <w:pPr>
        <w:numPr>
          <w:ilvl w:val="0"/>
          <w:numId w:val="5"/>
        </w:numPr>
        <w:spacing w:after="240" w:line="360" w:lineRule="auto"/>
        <w:ind w:left="709"/>
        <w:jc w:val="both"/>
        <w:rPr>
          <w:b/>
          <w:bCs/>
        </w:rPr>
      </w:pPr>
      <w:r w:rsidRPr="00067E16">
        <w:rPr>
          <w:b/>
        </w:rPr>
        <w:t>sektor domácností vynaložil celkem 514,2 m</w:t>
      </w:r>
      <w:r w:rsidRPr="00067E16">
        <w:rPr>
          <w:b/>
          <w:bCs/>
        </w:rPr>
        <w:t xml:space="preserve">ld. Kč na výdaje spojené s individuální spotřebou </w:t>
      </w:r>
      <w:r w:rsidRPr="00067E16">
        <w:rPr>
          <w:bCs/>
        </w:rPr>
        <w:t>(</w:t>
      </w:r>
      <w:r w:rsidRPr="00067E16">
        <w:t>bylo to o 2,7 % více než o rok dříve)</w:t>
      </w:r>
      <w:r w:rsidRPr="00067E16">
        <w:rPr>
          <w:bCs/>
        </w:rPr>
        <w:t>;</w:t>
      </w:r>
      <w:r w:rsidRPr="00067E16">
        <w:t xml:space="preserve"> </w:t>
      </w:r>
      <w:r w:rsidRPr="00067E16">
        <w:rPr>
          <w:b/>
        </w:rPr>
        <w:t>domácnosti</w:t>
      </w:r>
      <w:r w:rsidRPr="00067E16">
        <w:t xml:space="preserve"> tak – po zohlednění cenové inflace – </w:t>
      </w:r>
      <w:r w:rsidRPr="00067E16">
        <w:rPr>
          <w:b/>
        </w:rPr>
        <w:t>nakoupily zboží a služeb</w:t>
      </w:r>
      <w:r w:rsidRPr="00067E16">
        <w:t xml:space="preserve"> reálně o cca 11,0 mld. Kč </w:t>
      </w:r>
      <w:r w:rsidRPr="00067E16">
        <w:rPr>
          <w:b/>
        </w:rPr>
        <w:t>více</w:t>
      </w:r>
      <w:r w:rsidRPr="00067E16">
        <w:t xml:space="preserve"> než před rokem (viz tabulku č. 1 v příloze),</w:t>
      </w:r>
    </w:p>
    <w:p w:rsidR="006E167F" w:rsidRPr="00067E16" w:rsidRDefault="006E167F" w:rsidP="006E167F">
      <w:pPr>
        <w:spacing w:after="120" w:line="360" w:lineRule="auto"/>
        <w:ind w:left="349"/>
        <w:jc w:val="both"/>
        <w:rPr>
          <w:bCs/>
          <w:szCs w:val="24"/>
        </w:rPr>
      </w:pPr>
    </w:p>
    <w:p w:rsidR="006E167F" w:rsidRPr="00067E16" w:rsidRDefault="006E167F" w:rsidP="006E167F">
      <w:pPr>
        <w:spacing w:after="120" w:line="360" w:lineRule="auto"/>
        <w:jc w:val="both"/>
        <w:rPr>
          <w:b/>
          <w:bCs/>
        </w:rPr>
      </w:pPr>
      <w:r w:rsidRPr="00067E16">
        <w:tab/>
      </w:r>
      <w:r w:rsidRPr="00067E16">
        <w:rPr>
          <w:bCs/>
        </w:rPr>
        <w:t>Podobně jako v minulém roce</w:t>
      </w:r>
      <w:r w:rsidRPr="00067E16">
        <w:rPr>
          <w:b/>
          <w:bCs/>
        </w:rPr>
        <w:t xml:space="preserve"> pokračoval trend mírného růstu zadlužení domácností, </w:t>
      </w:r>
      <w:r w:rsidRPr="00067E16">
        <w:rPr>
          <w:bCs/>
        </w:rPr>
        <w:t>kdy</w:t>
      </w:r>
      <w:r w:rsidRPr="00067E16">
        <w:rPr>
          <w:b/>
          <w:bCs/>
        </w:rPr>
        <w:t xml:space="preserve"> </w:t>
      </w:r>
      <w:r w:rsidRPr="00067E16">
        <w:t xml:space="preserve">podle údajů ČNB činil </w:t>
      </w:r>
      <w:r w:rsidRPr="00067E16">
        <w:rPr>
          <w:b/>
          <w:bCs/>
        </w:rPr>
        <w:t xml:space="preserve">úhrnný objem půjček domácností </w:t>
      </w:r>
      <w:r w:rsidRPr="00067E16">
        <w:t xml:space="preserve">k 31. březnu 2016 celkem </w:t>
      </w:r>
      <w:r w:rsidRPr="00067E16">
        <w:rPr>
          <w:b/>
        </w:rPr>
        <w:t>1 331,9 </w:t>
      </w:r>
      <w:r w:rsidRPr="00067E16">
        <w:rPr>
          <w:b/>
          <w:bCs/>
        </w:rPr>
        <w:t>mld. Kč,</w:t>
      </w:r>
      <w:r w:rsidRPr="00067E16">
        <w:t xml:space="preserve"> </w:t>
      </w:r>
      <w:r w:rsidRPr="00067E16">
        <w:rPr>
          <w:bCs/>
        </w:rPr>
        <w:t>což bylo</w:t>
      </w:r>
      <w:r w:rsidRPr="00067E16">
        <w:t xml:space="preserve"> </w:t>
      </w:r>
      <w:r w:rsidRPr="00067E16">
        <w:rPr>
          <w:b/>
          <w:bCs/>
        </w:rPr>
        <w:t>o 93,1 mld. Kč (7,5 %) více než</w:t>
      </w:r>
      <w:r w:rsidRPr="00067E16">
        <w:rPr>
          <w:bCs/>
        </w:rPr>
        <w:t xml:space="preserve"> </w:t>
      </w:r>
      <w:r w:rsidRPr="00067E16">
        <w:rPr>
          <w:b/>
          <w:bCs/>
        </w:rPr>
        <w:t>ke stejnému datu roku 2015.</w:t>
      </w:r>
      <w:r w:rsidRPr="00067E16">
        <w:rPr>
          <w:bCs/>
        </w:rPr>
        <w:t xml:space="preserve"> </w:t>
      </w:r>
      <w:proofErr w:type="spellStart"/>
      <w:r w:rsidRPr="00067E16">
        <w:rPr>
          <w:bCs/>
        </w:rPr>
        <w:t>Mezičtvrtletně</w:t>
      </w:r>
      <w:proofErr w:type="spellEnd"/>
      <w:r w:rsidRPr="00067E16">
        <w:rPr>
          <w:bCs/>
        </w:rPr>
        <w:t xml:space="preserve"> vzrostly úvěry domácností jen o 8,2 mld. Kč, jedná se však o dlouhodobý sezónní jev, kdy je přírůstek úvěrů v prvním čtvrtletí nižší než ve zbytku roku (viz tabulku č. 21 v příloze):</w:t>
      </w:r>
    </w:p>
    <w:p w:rsidR="006E167F" w:rsidRPr="00067E16" w:rsidRDefault="006E167F" w:rsidP="006E167F">
      <w:pPr>
        <w:numPr>
          <w:ilvl w:val="0"/>
          <w:numId w:val="4"/>
        </w:numPr>
        <w:spacing w:after="240" w:line="360" w:lineRule="auto"/>
        <w:jc w:val="both"/>
        <w:rPr>
          <w:b/>
          <w:bCs/>
        </w:rPr>
      </w:pPr>
      <w:r w:rsidRPr="00067E16">
        <w:rPr>
          <w:b/>
          <w:bCs/>
        </w:rPr>
        <w:t>rozhodující část</w:t>
      </w:r>
      <w:r w:rsidRPr="00067E16">
        <w:t xml:space="preserve"> meziročního </w:t>
      </w:r>
      <w:r w:rsidRPr="00067E16">
        <w:rPr>
          <w:b/>
          <w:bCs/>
        </w:rPr>
        <w:t xml:space="preserve">vzestupu objemu </w:t>
      </w:r>
      <w:r w:rsidRPr="00067E16">
        <w:t xml:space="preserve">bankovních peněžních </w:t>
      </w:r>
      <w:r w:rsidRPr="00067E16">
        <w:rPr>
          <w:b/>
          <w:bCs/>
        </w:rPr>
        <w:t>půjček</w:t>
      </w:r>
      <w:r w:rsidRPr="00067E16">
        <w:t xml:space="preserve"> </w:t>
      </w:r>
      <w:r w:rsidRPr="00067E16">
        <w:rPr>
          <w:b/>
          <w:bCs/>
        </w:rPr>
        <w:t>představovaly úvěry spojené s bydlením</w:t>
      </w:r>
      <w:r w:rsidRPr="00067E16">
        <w:rPr>
          <w:b/>
        </w:rPr>
        <w:t>,</w:t>
      </w:r>
      <w:r w:rsidRPr="00067E16">
        <w:rPr>
          <w:b/>
          <w:bCs/>
        </w:rPr>
        <w:t xml:space="preserve"> </w:t>
      </w:r>
      <w:r w:rsidRPr="00067E16">
        <w:t xml:space="preserve">jejichž </w:t>
      </w:r>
      <w:r w:rsidRPr="00067E16">
        <w:rPr>
          <w:b/>
        </w:rPr>
        <w:t>celkový objem</w:t>
      </w:r>
      <w:r w:rsidRPr="00067E16">
        <w:rPr>
          <w:b/>
          <w:bCs/>
        </w:rPr>
        <w:t xml:space="preserve"> 981,7 mld. Kč </w:t>
      </w:r>
      <w:r w:rsidRPr="00067E16">
        <w:t>byl o </w:t>
      </w:r>
      <w:r w:rsidRPr="00067E16">
        <w:rPr>
          <w:bCs/>
        </w:rPr>
        <w:t xml:space="preserve">71,2 mld. Kč </w:t>
      </w:r>
      <w:r w:rsidRPr="00067E16">
        <w:t>vyšší (7,8 %) než o rok dříve. Domácnosti tak nadále využívaly velmi nízkých úrokových sazeb hypotečních úvěrů,</w:t>
      </w:r>
    </w:p>
    <w:p w:rsidR="006E167F" w:rsidRPr="00067E16" w:rsidRDefault="006E167F" w:rsidP="006E167F">
      <w:pPr>
        <w:numPr>
          <w:ilvl w:val="0"/>
          <w:numId w:val="4"/>
        </w:numPr>
        <w:spacing w:after="120" w:line="360" w:lineRule="auto"/>
        <w:jc w:val="both"/>
        <w:rPr>
          <w:bCs/>
        </w:rPr>
      </w:pPr>
      <w:r w:rsidRPr="00067E16">
        <w:rPr>
          <w:b/>
          <w:bCs/>
        </w:rPr>
        <w:t>objem</w:t>
      </w:r>
      <w:r w:rsidRPr="00067E16">
        <w:t xml:space="preserve"> </w:t>
      </w:r>
      <w:r w:rsidRPr="00067E16">
        <w:rPr>
          <w:b/>
        </w:rPr>
        <w:t xml:space="preserve">ostatních </w:t>
      </w:r>
      <w:r w:rsidRPr="00067E16">
        <w:rPr>
          <w:b/>
          <w:bCs/>
        </w:rPr>
        <w:t xml:space="preserve">úvěrů meziročně vzrostl o 21,9 mld. Kč </w:t>
      </w:r>
      <w:r w:rsidRPr="00067E16">
        <w:rPr>
          <w:bCs/>
        </w:rPr>
        <w:t>(celkem 350,2 mld. Kč). Takto výrazný</w:t>
      </w:r>
      <w:r w:rsidRPr="00067E16">
        <w:rPr>
          <w:b/>
          <w:bCs/>
        </w:rPr>
        <w:t xml:space="preserve"> </w:t>
      </w:r>
      <w:r w:rsidRPr="00067E16">
        <w:rPr>
          <w:bCs/>
        </w:rPr>
        <w:t xml:space="preserve">růst (oproti dlouhodobému trendu) byl způsoben fúzí pobočky zahraniční banky s nebankovním subjektem v polovině minulého roku, který znamenal jednorázové zvýšení bilanční sumy bank o 20 mld. Kč (z toho spotřebních úvěrů o 18 mld. Kč). </w:t>
      </w:r>
      <w:r w:rsidRPr="00067E16">
        <w:rPr>
          <w:b/>
          <w:bCs/>
        </w:rPr>
        <w:t>Od začátku roku se celkový objem ostatních úvěrů snížil o 1,7 mld. Kč.</w:t>
      </w:r>
      <w:r w:rsidRPr="00067E16">
        <w:rPr>
          <w:bCs/>
        </w:rPr>
        <w:t xml:space="preserve"> Rostoucí výdaje na spotřebu domácností byly ve sledovaném období pokrývány převážně z úspor a rostoucích příjmů.</w:t>
      </w:r>
    </w:p>
    <w:p w:rsidR="006E167F" w:rsidRPr="00067E16" w:rsidRDefault="006E167F" w:rsidP="006E167F">
      <w:pPr>
        <w:spacing w:after="120" w:line="360" w:lineRule="auto"/>
        <w:ind w:left="720"/>
        <w:jc w:val="both"/>
        <w:rPr>
          <w:bCs/>
        </w:rPr>
      </w:pPr>
    </w:p>
    <w:p w:rsidR="006E167F" w:rsidRPr="00067E16" w:rsidRDefault="006E167F" w:rsidP="006E167F">
      <w:pPr>
        <w:spacing w:after="240" w:line="360" w:lineRule="auto"/>
        <w:jc w:val="both"/>
        <w:rPr>
          <w:bCs/>
        </w:rPr>
      </w:pPr>
      <w:r w:rsidRPr="00067E16">
        <w:rPr>
          <w:bCs/>
        </w:rPr>
        <w:lastRenderedPageBreak/>
        <w:tab/>
      </w:r>
      <w:r w:rsidRPr="00067E16">
        <w:rPr>
          <w:b/>
          <w:bCs/>
        </w:rPr>
        <w:t>Domácnosti</w:t>
      </w:r>
      <w:r w:rsidRPr="00067E16">
        <w:rPr>
          <w:bCs/>
        </w:rPr>
        <w:t xml:space="preserve"> </w:t>
      </w:r>
      <w:r w:rsidRPr="00067E16">
        <w:rPr>
          <w:b/>
          <w:bCs/>
        </w:rPr>
        <w:t>pokračovaly</w:t>
      </w:r>
      <w:r w:rsidRPr="00067E16">
        <w:rPr>
          <w:bCs/>
        </w:rPr>
        <w:t xml:space="preserve"> v prvních třech měsících roku 2016 </w:t>
      </w:r>
      <w:r w:rsidRPr="00067E16">
        <w:rPr>
          <w:b/>
          <w:bCs/>
        </w:rPr>
        <w:t>v tvorbě nových úspor</w:t>
      </w:r>
      <w:r w:rsidRPr="00067E16">
        <w:rPr>
          <w:b/>
          <w:bCs/>
          <w:lang w:val="en-US"/>
        </w:rPr>
        <w:t>.</w:t>
      </w:r>
      <w:r w:rsidRPr="00067E16">
        <w:rPr>
          <w:b/>
          <w:bCs/>
        </w:rPr>
        <w:t xml:space="preserve"> </w:t>
      </w:r>
      <w:r w:rsidRPr="00067E16">
        <w:rPr>
          <w:bCs/>
        </w:rPr>
        <w:t xml:space="preserve">Nadále </w:t>
      </w:r>
      <w:r w:rsidRPr="00067E16">
        <w:rPr>
          <w:b/>
          <w:bCs/>
        </w:rPr>
        <w:t>se jednalo jen o likvidnější netermínované vklady</w:t>
      </w:r>
      <w:r w:rsidRPr="00067E16">
        <w:rPr>
          <w:bCs/>
        </w:rPr>
        <w:t xml:space="preserve"> v podobě peněz na běžných nebo spořicích účtech:</w:t>
      </w:r>
    </w:p>
    <w:p w:rsidR="006E167F" w:rsidRPr="00067E16" w:rsidRDefault="006E167F" w:rsidP="006E167F">
      <w:pPr>
        <w:numPr>
          <w:ilvl w:val="0"/>
          <w:numId w:val="4"/>
        </w:numPr>
        <w:spacing w:after="240" w:line="360" w:lineRule="auto"/>
        <w:jc w:val="both"/>
        <w:rPr>
          <w:b/>
          <w:bCs/>
        </w:rPr>
      </w:pPr>
      <w:r w:rsidRPr="00067E16">
        <w:rPr>
          <w:b/>
          <w:bCs/>
        </w:rPr>
        <w:t>celkový objem</w:t>
      </w:r>
      <w:r w:rsidRPr="00067E16">
        <w:t xml:space="preserve"> bankovních </w:t>
      </w:r>
      <w:r w:rsidRPr="00067E16">
        <w:rPr>
          <w:b/>
          <w:bCs/>
        </w:rPr>
        <w:t>úspor domácností</w:t>
      </w:r>
      <w:r w:rsidRPr="00067E16">
        <w:t xml:space="preserve"> </w:t>
      </w:r>
      <w:r w:rsidRPr="00067E16">
        <w:rPr>
          <w:b/>
        </w:rPr>
        <w:t>činil</w:t>
      </w:r>
      <w:r w:rsidRPr="00067E16">
        <w:t xml:space="preserve"> ke konci března 2016 </w:t>
      </w:r>
      <w:r w:rsidRPr="00067E16">
        <w:rPr>
          <w:b/>
        </w:rPr>
        <w:t>2 066,4 mld. Kč a</w:t>
      </w:r>
      <w:r w:rsidRPr="00067E16">
        <w:rPr>
          <w:b/>
          <w:bCs/>
        </w:rPr>
        <w:t xml:space="preserve"> </w:t>
      </w:r>
      <w:r w:rsidRPr="00067E16">
        <w:t xml:space="preserve">podle dostupných údajů ČNB meziročně </w:t>
      </w:r>
      <w:r w:rsidRPr="00067E16">
        <w:rPr>
          <w:b/>
        </w:rPr>
        <w:t>vzrostl</w:t>
      </w:r>
      <w:r w:rsidRPr="00067E16">
        <w:t xml:space="preserve"> </w:t>
      </w:r>
      <w:r w:rsidRPr="00067E16">
        <w:rPr>
          <w:b/>
          <w:bCs/>
        </w:rPr>
        <w:t xml:space="preserve">o 122,9 mld. Kč </w:t>
      </w:r>
      <w:r w:rsidRPr="00067E16">
        <w:rPr>
          <w:bCs/>
        </w:rPr>
        <w:t>(6,3 %). Od začátku roku do konce prvního čtvrtletí se vklady zvýšily o 31,7 mld. Kč, což bylo více než ve stejném období předchozího roku (nárůst o 20,3 mld. Kč),</w:t>
      </w:r>
    </w:p>
    <w:p w:rsidR="006E167F" w:rsidRPr="00067E16" w:rsidRDefault="006E167F" w:rsidP="006E167F">
      <w:pPr>
        <w:numPr>
          <w:ilvl w:val="0"/>
          <w:numId w:val="4"/>
        </w:numPr>
        <w:spacing w:after="240" w:line="360" w:lineRule="auto"/>
        <w:jc w:val="both"/>
        <w:rPr>
          <w:b/>
          <w:bCs/>
        </w:rPr>
      </w:pPr>
      <w:r w:rsidRPr="00067E16">
        <w:rPr>
          <w:b/>
        </w:rPr>
        <w:t>netermínované vklady</w:t>
      </w:r>
      <w:r w:rsidRPr="00067E16">
        <w:t xml:space="preserve"> na konci března </w:t>
      </w:r>
      <w:r w:rsidR="00A6130C">
        <w:t xml:space="preserve">celkem </w:t>
      </w:r>
      <w:r w:rsidRPr="00067E16">
        <w:rPr>
          <w:b/>
        </w:rPr>
        <w:t>meziročně vzrostly o 159,5 mld. Kč</w:t>
      </w:r>
      <w:r w:rsidRPr="00067E16">
        <w:t xml:space="preserve"> a </w:t>
      </w:r>
      <w:r w:rsidRPr="00067E16">
        <w:rPr>
          <w:b/>
        </w:rPr>
        <w:t>termínované vklady poklesly o 36,5 mld. Kč,</w:t>
      </w:r>
    </w:p>
    <w:p w:rsidR="006E167F" w:rsidRPr="00067E16" w:rsidRDefault="006E167F" w:rsidP="006E167F">
      <w:pPr>
        <w:numPr>
          <w:ilvl w:val="0"/>
          <w:numId w:val="4"/>
        </w:numPr>
        <w:spacing w:after="120" w:line="360" w:lineRule="auto"/>
        <w:jc w:val="both"/>
        <w:rPr>
          <w:b/>
          <w:bCs/>
        </w:rPr>
      </w:pPr>
      <w:r w:rsidRPr="00067E16">
        <w:t xml:space="preserve">domácnosti využívaly pro vklady převážně domácí měnu. Na konci prvního čtvrtletí roku 2016 činila podle ČNB </w:t>
      </w:r>
      <w:r w:rsidRPr="00067E16">
        <w:rPr>
          <w:b/>
        </w:rPr>
        <w:t xml:space="preserve">výše </w:t>
      </w:r>
      <w:proofErr w:type="spellStart"/>
      <w:r w:rsidRPr="00067E16">
        <w:rPr>
          <w:b/>
        </w:rPr>
        <w:t>cizoměnových</w:t>
      </w:r>
      <w:proofErr w:type="spellEnd"/>
      <w:r w:rsidRPr="00067E16">
        <w:rPr>
          <w:b/>
        </w:rPr>
        <w:t xml:space="preserve"> vkladů 86,0 mld. Kč</w:t>
      </w:r>
      <w:r w:rsidRPr="00067E16">
        <w:t xml:space="preserve"> a meziročně došlo k jejich zvýšení o 7,2 mld. Kč.</w:t>
      </w:r>
    </w:p>
    <w:sectPr w:rsidR="006E167F" w:rsidRPr="00067E16" w:rsidSect="00A96EE8">
      <w:footerReference w:type="default" r:id="rId10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A89" w:rsidRDefault="00D91A89">
      <w:r>
        <w:separator/>
      </w:r>
    </w:p>
  </w:endnote>
  <w:endnote w:type="continuationSeparator" w:id="0">
    <w:p w:rsidR="00D91A89" w:rsidRDefault="00D91A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CA4" w:rsidRDefault="00D14180" w:rsidP="009D61E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11CA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11CA4" w:rsidRDefault="00A11CA4" w:rsidP="009D61EF">
    <w:pPr>
      <w:pStyle w:val="Zpat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CA4" w:rsidRDefault="00A11CA4" w:rsidP="009D61EF">
    <w:pPr>
      <w:pStyle w:val="Zpat"/>
      <w:framePr w:wrap="around" w:vAnchor="text" w:hAnchor="margin" w:xAlign="center" w:y="1"/>
      <w:ind w:right="360"/>
      <w:rPr>
        <w:rStyle w:val="slostrnky"/>
      </w:rPr>
    </w:pPr>
  </w:p>
  <w:p w:rsidR="00A11CA4" w:rsidRDefault="00A11CA4" w:rsidP="0012791D">
    <w:pPr>
      <w:pStyle w:val="Zpat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EE8" w:rsidRPr="00A96EE8" w:rsidRDefault="00D14180">
    <w:pPr>
      <w:pStyle w:val="Zpat"/>
      <w:jc w:val="center"/>
    </w:pPr>
    <w:r w:rsidRPr="00A96EE8">
      <w:fldChar w:fldCharType="begin"/>
    </w:r>
    <w:r w:rsidR="00A96EE8" w:rsidRPr="00A96EE8">
      <w:instrText>PAGE   \* MERGEFORMAT</w:instrText>
    </w:r>
    <w:r w:rsidRPr="00A96EE8">
      <w:fldChar w:fldCharType="separate"/>
    </w:r>
    <w:r w:rsidR="008325AA">
      <w:rPr>
        <w:noProof/>
      </w:rPr>
      <w:t>19</w:t>
    </w:r>
    <w:r w:rsidRPr="00A96EE8">
      <w:fldChar w:fldCharType="end"/>
    </w:r>
  </w:p>
  <w:p w:rsidR="00A96EE8" w:rsidRDefault="00A96EE8" w:rsidP="009D61EF">
    <w:pPr>
      <w:pStyle w:val="Zpat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A89" w:rsidRDefault="00D91A89">
      <w:r>
        <w:separator/>
      </w:r>
    </w:p>
  </w:footnote>
  <w:footnote w:type="continuationSeparator" w:id="0">
    <w:p w:rsidR="00D91A89" w:rsidRDefault="00D91A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502"/>
    <w:multiLevelType w:val="hybridMultilevel"/>
    <w:tmpl w:val="1D00D456"/>
    <w:lvl w:ilvl="0" w:tplc="4340610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B781A"/>
    <w:multiLevelType w:val="hybridMultilevel"/>
    <w:tmpl w:val="A57026E2"/>
    <w:lvl w:ilvl="0" w:tplc="43406100">
      <w:start w:val="1"/>
      <w:numFmt w:val="bullet"/>
      <w:lvlText w:val=""/>
      <w:lvlJc w:val="left"/>
      <w:pPr>
        <w:ind w:left="1068" w:hanging="360"/>
      </w:pPr>
      <w:rPr>
        <w:rFonts w:ascii="Symbol" w:hAnsi="Symbol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6FC22C6"/>
    <w:multiLevelType w:val="multilevel"/>
    <w:tmpl w:val="04050027"/>
    <w:lvl w:ilvl="0">
      <w:start w:val="1"/>
      <w:numFmt w:val="upperRoman"/>
      <w:pStyle w:val="Nadpis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Nadpis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Nadpis3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lowerLetter"/>
      <w:pStyle w:val="Nadpis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>
    <w:nsid w:val="09023944"/>
    <w:multiLevelType w:val="hybridMultilevel"/>
    <w:tmpl w:val="57B8BD6C"/>
    <w:lvl w:ilvl="0" w:tplc="43406100">
      <w:start w:val="1"/>
      <w:numFmt w:val="bullet"/>
      <w:lvlText w:val="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4">
    <w:nsid w:val="0CDC08D0"/>
    <w:multiLevelType w:val="hybridMultilevel"/>
    <w:tmpl w:val="C7964F78"/>
    <w:lvl w:ilvl="0" w:tplc="4340610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202D7D"/>
    <w:multiLevelType w:val="hybridMultilevel"/>
    <w:tmpl w:val="B8F648E6"/>
    <w:lvl w:ilvl="0" w:tplc="4340610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B62A49"/>
    <w:multiLevelType w:val="hybridMultilevel"/>
    <w:tmpl w:val="C9205FBA"/>
    <w:lvl w:ilvl="0" w:tplc="040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DF5332"/>
    <w:multiLevelType w:val="hybridMultilevel"/>
    <w:tmpl w:val="C2A83A96"/>
    <w:lvl w:ilvl="0" w:tplc="8DD49488">
      <w:start w:val="1"/>
      <w:numFmt w:val="bullet"/>
      <w:lvlText w:val=""/>
      <w:lvlJc w:val="left"/>
      <w:pPr>
        <w:tabs>
          <w:tab w:val="num" w:pos="-138"/>
        </w:tabs>
        <w:ind w:left="-13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582"/>
        </w:tabs>
        <w:ind w:left="58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302"/>
        </w:tabs>
        <w:ind w:left="1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022"/>
        </w:tabs>
        <w:ind w:left="2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742"/>
        </w:tabs>
        <w:ind w:left="274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462"/>
        </w:tabs>
        <w:ind w:left="3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182"/>
        </w:tabs>
        <w:ind w:left="4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902"/>
        </w:tabs>
        <w:ind w:left="490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622"/>
        </w:tabs>
        <w:ind w:left="5622" w:hanging="360"/>
      </w:pPr>
      <w:rPr>
        <w:rFonts w:ascii="Wingdings" w:hAnsi="Wingdings" w:hint="default"/>
      </w:rPr>
    </w:lvl>
  </w:abstractNum>
  <w:abstractNum w:abstractNumId="8">
    <w:nsid w:val="129C318E"/>
    <w:multiLevelType w:val="hybridMultilevel"/>
    <w:tmpl w:val="C4C09478"/>
    <w:lvl w:ilvl="0" w:tplc="4340610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986A48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ED26A8"/>
    <w:multiLevelType w:val="hybridMultilevel"/>
    <w:tmpl w:val="7182FF5A"/>
    <w:lvl w:ilvl="0" w:tplc="0986A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106488"/>
    <w:multiLevelType w:val="hybridMultilevel"/>
    <w:tmpl w:val="FBAEDE52"/>
    <w:lvl w:ilvl="0" w:tplc="43406100">
      <w:start w:val="1"/>
      <w:numFmt w:val="bullet"/>
      <w:lvlText w:val=""/>
      <w:lvlJc w:val="left"/>
      <w:pPr>
        <w:tabs>
          <w:tab w:val="num" w:pos="130"/>
        </w:tabs>
        <w:ind w:left="13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-680"/>
        </w:tabs>
        <w:ind w:left="-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0"/>
        </w:tabs>
        <w:ind w:left="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</w:abstractNum>
  <w:abstractNum w:abstractNumId="11">
    <w:nsid w:val="1F680B7A"/>
    <w:multiLevelType w:val="hybridMultilevel"/>
    <w:tmpl w:val="ECDC3790"/>
    <w:lvl w:ilvl="0" w:tplc="4340610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FA2001"/>
    <w:multiLevelType w:val="hybridMultilevel"/>
    <w:tmpl w:val="0C28C9FE"/>
    <w:lvl w:ilvl="0" w:tplc="28046BB6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214034A"/>
    <w:multiLevelType w:val="hybridMultilevel"/>
    <w:tmpl w:val="994EC4BA"/>
    <w:lvl w:ilvl="0" w:tplc="4340610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814D35"/>
    <w:multiLevelType w:val="hybridMultilevel"/>
    <w:tmpl w:val="45A88F2A"/>
    <w:lvl w:ilvl="0" w:tplc="4340610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5881E22"/>
    <w:multiLevelType w:val="hybridMultilevel"/>
    <w:tmpl w:val="DB328FF8"/>
    <w:lvl w:ilvl="0" w:tplc="4340610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50636F"/>
    <w:multiLevelType w:val="hybridMultilevel"/>
    <w:tmpl w:val="A950F9FC"/>
    <w:lvl w:ilvl="0" w:tplc="28046B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0047D3"/>
    <w:multiLevelType w:val="hybridMultilevel"/>
    <w:tmpl w:val="75246BB6"/>
    <w:lvl w:ilvl="0" w:tplc="28046BB6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920406B"/>
    <w:multiLevelType w:val="hybridMultilevel"/>
    <w:tmpl w:val="39CEED66"/>
    <w:lvl w:ilvl="0" w:tplc="8DD49488">
      <w:start w:val="1"/>
      <w:numFmt w:val="bullet"/>
      <w:lvlText w:val=""/>
      <w:lvlJc w:val="left"/>
      <w:pPr>
        <w:tabs>
          <w:tab w:val="num" w:pos="288"/>
        </w:tabs>
        <w:ind w:left="288" w:hanging="360"/>
      </w:pPr>
      <w:rPr>
        <w:rFonts w:ascii="Symbol" w:hAnsi="Symbol" w:hint="default"/>
        <w:color w:val="auto"/>
      </w:rPr>
    </w:lvl>
    <w:lvl w:ilvl="1" w:tplc="0986A486">
      <w:start w:val="1"/>
      <w:numFmt w:val="bullet"/>
      <w:lvlText w:val="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19">
    <w:nsid w:val="449675C8"/>
    <w:multiLevelType w:val="hybridMultilevel"/>
    <w:tmpl w:val="8CD69554"/>
    <w:lvl w:ilvl="0" w:tplc="43406100">
      <w:start w:val="1"/>
      <w:numFmt w:val="bullet"/>
      <w:lvlText w:val="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>
    <w:nsid w:val="44A64DC9"/>
    <w:multiLevelType w:val="hybridMultilevel"/>
    <w:tmpl w:val="C8447A5A"/>
    <w:lvl w:ilvl="0" w:tplc="4340610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EE49DD"/>
    <w:multiLevelType w:val="hybridMultilevel"/>
    <w:tmpl w:val="4D0295BC"/>
    <w:lvl w:ilvl="0" w:tplc="040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BA4F5E"/>
    <w:multiLevelType w:val="hybridMultilevel"/>
    <w:tmpl w:val="3A7AE7A6"/>
    <w:lvl w:ilvl="0" w:tplc="6504B13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>
    <w:nsid w:val="4A044C61"/>
    <w:multiLevelType w:val="hybridMultilevel"/>
    <w:tmpl w:val="B8981C4E"/>
    <w:lvl w:ilvl="0" w:tplc="28046B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114411"/>
    <w:multiLevelType w:val="hybridMultilevel"/>
    <w:tmpl w:val="48A0B058"/>
    <w:lvl w:ilvl="0" w:tplc="28046BB6">
      <w:start w:val="1"/>
      <w:numFmt w:val="bullet"/>
      <w:lvlText w:val=""/>
      <w:lvlJc w:val="left"/>
      <w:pPr>
        <w:ind w:left="1068" w:hanging="360"/>
      </w:pPr>
      <w:rPr>
        <w:rFonts w:ascii="Symbol" w:hAnsi="Symbol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5245788E"/>
    <w:multiLevelType w:val="hybridMultilevel"/>
    <w:tmpl w:val="240C3C3E"/>
    <w:lvl w:ilvl="0" w:tplc="B3069C9E">
      <w:start w:val="1"/>
      <w:numFmt w:val="bullet"/>
      <w:lvlText w:val=""/>
      <w:lvlJc w:val="left"/>
      <w:pPr>
        <w:ind w:left="1485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6">
    <w:nsid w:val="5E8C7C7D"/>
    <w:multiLevelType w:val="hybridMultilevel"/>
    <w:tmpl w:val="54D60CBC"/>
    <w:lvl w:ilvl="0" w:tplc="C7F0B58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7">
    <w:nsid w:val="621168CD"/>
    <w:multiLevelType w:val="hybridMultilevel"/>
    <w:tmpl w:val="8E2A4E8E"/>
    <w:lvl w:ilvl="0" w:tplc="43406100">
      <w:start w:val="1"/>
      <w:numFmt w:val="bullet"/>
      <w:lvlText w:val="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68F414C8"/>
    <w:multiLevelType w:val="hybridMultilevel"/>
    <w:tmpl w:val="02F4A36E"/>
    <w:lvl w:ilvl="0" w:tplc="28046B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C61ACE"/>
    <w:multiLevelType w:val="hybridMultilevel"/>
    <w:tmpl w:val="2542C554"/>
    <w:lvl w:ilvl="0" w:tplc="C7F0B58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74CC01D2"/>
    <w:multiLevelType w:val="hybridMultilevel"/>
    <w:tmpl w:val="278EBF52"/>
    <w:lvl w:ilvl="0" w:tplc="28046BB6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7524CE6"/>
    <w:multiLevelType w:val="hybridMultilevel"/>
    <w:tmpl w:val="A19421A6"/>
    <w:lvl w:ilvl="0" w:tplc="0986A48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79EC21E7"/>
    <w:multiLevelType w:val="hybridMultilevel"/>
    <w:tmpl w:val="C47EC03C"/>
    <w:lvl w:ilvl="0" w:tplc="4340610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EF27AC"/>
    <w:multiLevelType w:val="hybridMultilevel"/>
    <w:tmpl w:val="790065DE"/>
    <w:lvl w:ilvl="0" w:tplc="DC343C08">
      <w:start w:val="1"/>
      <w:numFmt w:val="bullet"/>
      <w:lvlText w:val=""/>
      <w:lvlJc w:val="left"/>
      <w:pPr>
        <w:ind w:left="107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15"/>
  </w:num>
  <w:num w:numId="4">
    <w:abstractNumId w:val="14"/>
  </w:num>
  <w:num w:numId="5">
    <w:abstractNumId w:val="10"/>
  </w:num>
  <w:num w:numId="6">
    <w:abstractNumId w:val="22"/>
  </w:num>
  <w:num w:numId="7">
    <w:abstractNumId w:val="26"/>
  </w:num>
  <w:num w:numId="8">
    <w:abstractNumId w:val="29"/>
  </w:num>
  <w:num w:numId="9">
    <w:abstractNumId w:val="6"/>
  </w:num>
  <w:num w:numId="10">
    <w:abstractNumId w:val="21"/>
  </w:num>
  <w:num w:numId="11">
    <w:abstractNumId w:val="7"/>
  </w:num>
  <w:num w:numId="12">
    <w:abstractNumId w:val="9"/>
  </w:num>
  <w:num w:numId="13">
    <w:abstractNumId w:val="19"/>
  </w:num>
  <w:num w:numId="14">
    <w:abstractNumId w:val="3"/>
  </w:num>
  <w:num w:numId="15">
    <w:abstractNumId w:val="1"/>
  </w:num>
  <w:num w:numId="16">
    <w:abstractNumId w:val="4"/>
  </w:num>
  <w:num w:numId="17">
    <w:abstractNumId w:val="0"/>
  </w:num>
  <w:num w:numId="18">
    <w:abstractNumId w:val="32"/>
  </w:num>
  <w:num w:numId="19">
    <w:abstractNumId w:val="13"/>
  </w:num>
  <w:num w:numId="20">
    <w:abstractNumId w:val="11"/>
  </w:num>
  <w:num w:numId="21">
    <w:abstractNumId w:val="5"/>
  </w:num>
  <w:num w:numId="22">
    <w:abstractNumId w:val="28"/>
  </w:num>
  <w:num w:numId="23">
    <w:abstractNumId w:val="30"/>
  </w:num>
  <w:num w:numId="24">
    <w:abstractNumId w:val="12"/>
  </w:num>
  <w:num w:numId="25">
    <w:abstractNumId w:val="16"/>
  </w:num>
  <w:num w:numId="26">
    <w:abstractNumId w:val="17"/>
  </w:num>
  <w:num w:numId="27">
    <w:abstractNumId w:val="23"/>
  </w:num>
  <w:num w:numId="28">
    <w:abstractNumId w:val="24"/>
  </w:num>
  <w:num w:numId="29">
    <w:abstractNumId w:val="33"/>
  </w:num>
  <w:num w:numId="30">
    <w:abstractNumId w:val="25"/>
  </w:num>
  <w:num w:numId="31">
    <w:abstractNumId w:val="31"/>
  </w:num>
  <w:num w:numId="32">
    <w:abstractNumId w:val="18"/>
  </w:num>
  <w:num w:numId="33">
    <w:abstractNumId w:val="8"/>
  </w:num>
  <w:num w:numId="34">
    <w:abstractNumId w:val="2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820A43"/>
    <w:rsid w:val="000000EB"/>
    <w:rsid w:val="00002D09"/>
    <w:rsid w:val="00005478"/>
    <w:rsid w:val="00006EB7"/>
    <w:rsid w:val="00010CDA"/>
    <w:rsid w:val="00010F96"/>
    <w:rsid w:val="0001234D"/>
    <w:rsid w:val="00014B1B"/>
    <w:rsid w:val="00016405"/>
    <w:rsid w:val="0001665E"/>
    <w:rsid w:val="00023B53"/>
    <w:rsid w:val="00024DB4"/>
    <w:rsid w:val="00026922"/>
    <w:rsid w:val="00027377"/>
    <w:rsid w:val="000328D2"/>
    <w:rsid w:val="00034073"/>
    <w:rsid w:val="000346F9"/>
    <w:rsid w:val="00034F71"/>
    <w:rsid w:val="00035DAA"/>
    <w:rsid w:val="000369D6"/>
    <w:rsid w:val="000440BF"/>
    <w:rsid w:val="0004595A"/>
    <w:rsid w:val="000500B2"/>
    <w:rsid w:val="000502BC"/>
    <w:rsid w:val="000504EF"/>
    <w:rsid w:val="00053578"/>
    <w:rsid w:val="00056EE9"/>
    <w:rsid w:val="00057478"/>
    <w:rsid w:val="00060C4C"/>
    <w:rsid w:val="000661B2"/>
    <w:rsid w:val="0006719E"/>
    <w:rsid w:val="0006792F"/>
    <w:rsid w:val="00067C1D"/>
    <w:rsid w:val="00067E16"/>
    <w:rsid w:val="000726C6"/>
    <w:rsid w:val="00074F34"/>
    <w:rsid w:val="000762FD"/>
    <w:rsid w:val="00081885"/>
    <w:rsid w:val="00081987"/>
    <w:rsid w:val="000826CF"/>
    <w:rsid w:val="000836FA"/>
    <w:rsid w:val="00084795"/>
    <w:rsid w:val="000854E7"/>
    <w:rsid w:val="00086F29"/>
    <w:rsid w:val="0008744E"/>
    <w:rsid w:val="00092543"/>
    <w:rsid w:val="0009468A"/>
    <w:rsid w:val="00094C4B"/>
    <w:rsid w:val="0009519D"/>
    <w:rsid w:val="000955E9"/>
    <w:rsid w:val="00096186"/>
    <w:rsid w:val="00096434"/>
    <w:rsid w:val="000967B3"/>
    <w:rsid w:val="00096A7F"/>
    <w:rsid w:val="000A1BD3"/>
    <w:rsid w:val="000A2D06"/>
    <w:rsid w:val="000A49DF"/>
    <w:rsid w:val="000A51B8"/>
    <w:rsid w:val="000A78CB"/>
    <w:rsid w:val="000B040F"/>
    <w:rsid w:val="000B146B"/>
    <w:rsid w:val="000B2C7E"/>
    <w:rsid w:val="000B3FEE"/>
    <w:rsid w:val="000B4160"/>
    <w:rsid w:val="000B4596"/>
    <w:rsid w:val="000B544B"/>
    <w:rsid w:val="000B5B59"/>
    <w:rsid w:val="000B5DDB"/>
    <w:rsid w:val="000B63CD"/>
    <w:rsid w:val="000C1FB7"/>
    <w:rsid w:val="000C2543"/>
    <w:rsid w:val="000C47CB"/>
    <w:rsid w:val="000C7AE9"/>
    <w:rsid w:val="000D1F1D"/>
    <w:rsid w:val="000D22CA"/>
    <w:rsid w:val="000D2643"/>
    <w:rsid w:val="000D2D91"/>
    <w:rsid w:val="000D795E"/>
    <w:rsid w:val="000E250B"/>
    <w:rsid w:val="000E2B1C"/>
    <w:rsid w:val="000E511A"/>
    <w:rsid w:val="000E5736"/>
    <w:rsid w:val="000E5CDF"/>
    <w:rsid w:val="000F100F"/>
    <w:rsid w:val="000F2E55"/>
    <w:rsid w:val="000F4D5D"/>
    <w:rsid w:val="000F61B6"/>
    <w:rsid w:val="000F74BA"/>
    <w:rsid w:val="000F7E02"/>
    <w:rsid w:val="0010018E"/>
    <w:rsid w:val="0010283B"/>
    <w:rsid w:val="00106D26"/>
    <w:rsid w:val="00110817"/>
    <w:rsid w:val="00110C58"/>
    <w:rsid w:val="00115B02"/>
    <w:rsid w:val="00120A88"/>
    <w:rsid w:val="00120BA1"/>
    <w:rsid w:val="0012342A"/>
    <w:rsid w:val="0012791D"/>
    <w:rsid w:val="00130524"/>
    <w:rsid w:val="00132B48"/>
    <w:rsid w:val="00133E09"/>
    <w:rsid w:val="00135798"/>
    <w:rsid w:val="00137FE0"/>
    <w:rsid w:val="00140D80"/>
    <w:rsid w:val="001428A0"/>
    <w:rsid w:val="00143504"/>
    <w:rsid w:val="00145D4A"/>
    <w:rsid w:val="00145F26"/>
    <w:rsid w:val="001477AF"/>
    <w:rsid w:val="00147B50"/>
    <w:rsid w:val="00147D8B"/>
    <w:rsid w:val="00151010"/>
    <w:rsid w:val="001510AF"/>
    <w:rsid w:val="001517E9"/>
    <w:rsid w:val="00152475"/>
    <w:rsid w:val="00153554"/>
    <w:rsid w:val="00156FD4"/>
    <w:rsid w:val="0015735E"/>
    <w:rsid w:val="001606C1"/>
    <w:rsid w:val="00161574"/>
    <w:rsid w:val="00161EFC"/>
    <w:rsid w:val="00165FA8"/>
    <w:rsid w:val="00167FBB"/>
    <w:rsid w:val="00171413"/>
    <w:rsid w:val="00171D7C"/>
    <w:rsid w:val="00172938"/>
    <w:rsid w:val="0017383F"/>
    <w:rsid w:val="00180012"/>
    <w:rsid w:val="00180982"/>
    <w:rsid w:val="00181966"/>
    <w:rsid w:val="00181ABD"/>
    <w:rsid w:val="00182E4A"/>
    <w:rsid w:val="00185755"/>
    <w:rsid w:val="00187C6B"/>
    <w:rsid w:val="00191E64"/>
    <w:rsid w:val="001920B8"/>
    <w:rsid w:val="0019239A"/>
    <w:rsid w:val="00194236"/>
    <w:rsid w:val="001966D7"/>
    <w:rsid w:val="001968B0"/>
    <w:rsid w:val="001A09FA"/>
    <w:rsid w:val="001A2454"/>
    <w:rsid w:val="001A3D6D"/>
    <w:rsid w:val="001A408C"/>
    <w:rsid w:val="001A4B38"/>
    <w:rsid w:val="001A6B10"/>
    <w:rsid w:val="001B1157"/>
    <w:rsid w:val="001B128E"/>
    <w:rsid w:val="001B53E1"/>
    <w:rsid w:val="001B5575"/>
    <w:rsid w:val="001C00DC"/>
    <w:rsid w:val="001C27D9"/>
    <w:rsid w:val="001C6544"/>
    <w:rsid w:val="001D0DF4"/>
    <w:rsid w:val="001D2A62"/>
    <w:rsid w:val="001D374E"/>
    <w:rsid w:val="001D58C4"/>
    <w:rsid w:val="001D5B7B"/>
    <w:rsid w:val="001D6C57"/>
    <w:rsid w:val="001E1680"/>
    <w:rsid w:val="001E252D"/>
    <w:rsid w:val="001E2B3F"/>
    <w:rsid w:val="001E336C"/>
    <w:rsid w:val="001E3F11"/>
    <w:rsid w:val="001E43C5"/>
    <w:rsid w:val="001E5077"/>
    <w:rsid w:val="001E5C7D"/>
    <w:rsid w:val="001E7439"/>
    <w:rsid w:val="001F0111"/>
    <w:rsid w:val="001F14A5"/>
    <w:rsid w:val="001F3E7B"/>
    <w:rsid w:val="001F459A"/>
    <w:rsid w:val="0020140E"/>
    <w:rsid w:val="00201826"/>
    <w:rsid w:val="00205E50"/>
    <w:rsid w:val="0020644C"/>
    <w:rsid w:val="0020740A"/>
    <w:rsid w:val="002137FC"/>
    <w:rsid w:val="00215776"/>
    <w:rsid w:val="00215C3E"/>
    <w:rsid w:val="0021651C"/>
    <w:rsid w:val="00216DE1"/>
    <w:rsid w:val="0022177B"/>
    <w:rsid w:val="00222F2A"/>
    <w:rsid w:val="0022352C"/>
    <w:rsid w:val="00225A56"/>
    <w:rsid w:val="00225CEB"/>
    <w:rsid w:val="002260E9"/>
    <w:rsid w:val="00227B36"/>
    <w:rsid w:val="0023028A"/>
    <w:rsid w:val="00235872"/>
    <w:rsid w:val="00235DC0"/>
    <w:rsid w:val="00236559"/>
    <w:rsid w:val="0024166C"/>
    <w:rsid w:val="00241A60"/>
    <w:rsid w:val="002449FA"/>
    <w:rsid w:val="0024630B"/>
    <w:rsid w:val="00252F44"/>
    <w:rsid w:val="00256E24"/>
    <w:rsid w:val="00262743"/>
    <w:rsid w:val="002632A7"/>
    <w:rsid w:val="002632B5"/>
    <w:rsid w:val="00263534"/>
    <w:rsid w:val="00263617"/>
    <w:rsid w:val="002641B2"/>
    <w:rsid w:val="0026455F"/>
    <w:rsid w:val="00266116"/>
    <w:rsid w:val="00266CD3"/>
    <w:rsid w:val="00272630"/>
    <w:rsid w:val="00273F73"/>
    <w:rsid w:val="0027649D"/>
    <w:rsid w:val="002774A7"/>
    <w:rsid w:val="0027763A"/>
    <w:rsid w:val="00280FA1"/>
    <w:rsid w:val="002811A6"/>
    <w:rsid w:val="00282C9F"/>
    <w:rsid w:val="002870FA"/>
    <w:rsid w:val="002906EE"/>
    <w:rsid w:val="00292417"/>
    <w:rsid w:val="00292F9B"/>
    <w:rsid w:val="00293309"/>
    <w:rsid w:val="002962F8"/>
    <w:rsid w:val="00297482"/>
    <w:rsid w:val="002975AF"/>
    <w:rsid w:val="00297944"/>
    <w:rsid w:val="002A06EE"/>
    <w:rsid w:val="002A27E1"/>
    <w:rsid w:val="002A2DA4"/>
    <w:rsid w:val="002A5D35"/>
    <w:rsid w:val="002B04E3"/>
    <w:rsid w:val="002B0520"/>
    <w:rsid w:val="002B0DA2"/>
    <w:rsid w:val="002B3C16"/>
    <w:rsid w:val="002B4927"/>
    <w:rsid w:val="002B49B5"/>
    <w:rsid w:val="002B4FAD"/>
    <w:rsid w:val="002B5737"/>
    <w:rsid w:val="002B5F67"/>
    <w:rsid w:val="002B6B13"/>
    <w:rsid w:val="002C1344"/>
    <w:rsid w:val="002C349C"/>
    <w:rsid w:val="002C4F03"/>
    <w:rsid w:val="002C5635"/>
    <w:rsid w:val="002D0513"/>
    <w:rsid w:val="002D3148"/>
    <w:rsid w:val="002D6851"/>
    <w:rsid w:val="002D784C"/>
    <w:rsid w:val="002E6107"/>
    <w:rsid w:val="002E6A48"/>
    <w:rsid w:val="002E6E34"/>
    <w:rsid w:val="002E72EE"/>
    <w:rsid w:val="002F0A3D"/>
    <w:rsid w:val="002F2A13"/>
    <w:rsid w:val="002F2A17"/>
    <w:rsid w:val="002F484C"/>
    <w:rsid w:val="002F48B8"/>
    <w:rsid w:val="002F7979"/>
    <w:rsid w:val="00301681"/>
    <w:rsid w:val="00302A17"/>
    <w:rsid w:val="00304AB9"/>
    <w:rsid w:val="003071AC"/>
    <w:rsid w:val="00307756"/>
    <w:rsid w:val="0031187B"/>
    <w:rsid w:val="00312156"/>
    <w:rsid w:val="003160DB"/>
    <w:rsid w:val="00321CB8"/>
    <w:rsid w:val="00322690"/>
    <w:rsid w:val="003233CB"/>
    <w:rsid w:val="00323B0B"/>
    <w:rsid w:val="00323C5F"/>
    <w:rsid w:val="00323FC6"/>
    <w:rsid w:val="00324CFC"/>
    <w:rsid w:val="003326DF"/>
    <w:rsid w:val="00332E16"/>
    <w:rsid w:val="003331C6"/>
    <w:rsid w:val="003334BB"/>
    <w:rsid w:val="00333BDB"/>
    <w:rsid w:val="00335422"/>
    <w:rsid w:val="00335876"/>
    <w:rsid w:val="00335FCC"/>
    <w:rsid w:val="003402F3"/>
    <w:rsid w:val="00340D55"/>
    <w:rsid w:val="00341F6A"/>
    <w:rsid w:val="003448C2"/>
    <w:rsid w:val="00346852"/>
    <w:rsid w:val="00347013"/>
    <w:rsid w:val="00352002"/>
    <w:rsid w:val="00353ED1"/>
    <w:rsid w:val="00355C21"/>
    <w:rsid w:val="00360495"/>
    <w:rsid w:val="0036224E"/>
    <w:rsid w:val="003632E9"/>
    <w:rsid w:val="003639C8"/>
    <w:rsid w:val="0036666D"/>
    <w:rsid w:val="00366B48"/>
    <w:rsid w:val="00367104"/>
    <w:rsid w:val="0037030C"/>
    <w:rsid w:val="00371419"/>
    <w:rsid w:val="00373A15"/>
    <w:rsid w:val="0037489B"/>
    <w:rsid w:val="00374E47"/>
    <w:rsid w:val="003765A0"/>
    <w:rsid w:val="0037747C"/>
    <w:rsid w:val="0037789C"/>
    <w:rsid w:val="00377D70"/>
    <w:rsid w:val="00381122"/>
    <w:rsid w:val="00381E4A"/>
    <w:rsid w:val="00382F48"/>
    <w:rsid w:val="00390B45"/>
    <w:rsid w:val="0039170A"/>
    <w:rsid w:val="003948AB"/>
    <w:rsid w:val="00394EC5"/>
    <w:rsid w:val="003A18D1"/>
    <w:rsid w:val="003A1C1B"/>
    <w:rsid w:val="003A5FF3"/>
    <w:rsid w:val="003B0FD0"/>
    <w:rsid w:val="003B18D4"/>
    <w:rsid w:val="003B1911"/>
    <w:rsid w:val="003B1C3F"/>
    <w:rsid w:val="003B25DB"/>
    <w:rsid w:val="003B2934"/>
    <w:rsid w:val="003B5B55"/>
    <w:rsid w:val="003C126B"/>
    <w:rsid w:val="003C1513"/>
    <w:rsid w:val="003C25A9"/>
    <w:rsid w:val="003C2A0B"/>
    <w:rsid w:val="003C36AA"/>
    <w:rsid w:val="003C37B1"/>
    <w:rsid w:val="003C3E2F"/>
    <w:rsid w:val="003C5A78"/>
    <w:rsid w:val="003C5FE0"/>
    <w:rsid w:val="003D0781"/>
    <w:rsid w:val="003D6FEE"/>
    <w:rsid w:val="003D7AD8"/>
    <w:rsid w:val="003E0230"/>
    <w:rsid w:val="003E0F95"/>
    <w:rsid w:val="003E1D08"/>
    <w:rsid w:val="003E2F2B"/>
    <w:rsid w:val="003E3400"/>
    <w:rsid w:val="003E5052"/>
    <w:rsid w:val="003E5BD4"/>
    <w:rsid w:val="003E6081"/>
    <w:rsid w:val="003E6C1F"/>
    <w:rsid w:val="003E7BC5"/>
    <w:rsid w:val="003F0B13"/>
    <w:rsid w:val="003F0BF7"/>
    <w:rsid w:val="003F0ED3"/>
    <w:rsid w:val="003F1A7F"/>
    <w:rsid w:val="003F2A46"/>
    <w:rsid w:val="003F3BED"/>
    <w:rsid w:val="003F4E28"/>
    <w:rsid w:val="003F51E5"/>
    <w:rsid w:val="003F5656"/>
    <w:rsid w:val="003F6B21"/>
    <w:rsid w:val="003F6CC1"/>
    <w:rsid w:val="003F70E9"/>
    <w:rsid w:val="003F71D8"/>
    <w:rsid w:val="00400B00"/>
    <w:rsid w:val="004042A6"/>
    <w:rsid w:val="00405F2E"/>
    <w:rsid w:val="004075F3"/>
    <w:rsid w:val="00410CC3"/>
    <w:rsid w:val="004114D2"/>
    <w:rsid w:val="004118C0"/>
    <w:rsid w:val="00411A9D"/>
    <w:rsid w:val="00412803"/>
    <w:rsid w:val="00413CAB"/>
    <w:rsid w:val="00415A64"/>
    <w:rsid w:val="004165A9"/>
    <w:rsid w:val="00420D2D"/>
    <w:rsid w:val="0042117A"/>
    <w:rsid w:val="004218BD"/>
    <w:rsid w:val="004222BE"/>
    <w:rsid w:val="00422785"/>
    <w:rsid w:val="00423244"/>
    <w:rsid w:val="00423BC2"/>
    <w:rsid w:val="00423EE0"/>
    <w:rsid w:val="0042410B"/>
    <w:rsid w:val="004270DF"/>
    <w:rsid w:val="00427F15"/>
    <w:rsid w:val="00430582"/>
    <w:rsid w:val="004311C4"/>
    <w:rsid w:val="00431CCA"/>
    <w:rsid w:val="004340F6"/>
    <w:rsid w:val="004348C8"/>
    <w:rsid w:val="00441AE6"/>
    <w:rsid w:val="004423E3"/>
    <w:rsid w:val="00445218"/>
    <w:rsid w:val="004452EB"/>
    <w:rsid w:val="0044610D"/>
    <w:rsid w:val="00451255"/>
    <w:rsid w:val="0045165C"/>
    <w:rsid w:val="00451986"/>
    <w:rsid w:val="004519FC"/>
    <w:rsid w:val="00452544"/>
    <w:rsid w:val="00455F7F"/>
    <w:rsid w:val="0045602D"/>
    <w:rsid w:val="004564DE"/>
    <w:rsid w:val="0045768D"/>
    <w:rsid w:val="00460545"/>
    <w:rsid w:val="00462BB2"/>
    <w:rsid w:val="00462D7E"/>
    <w:rsid w:val="00467B5F"/>
    <w:rsid w:val="00470505"/>
    <w:rsid w:val="00472764"/>
    <w:rsid w:val="00474014"/>
    <w:rsid w:val="00475AEE"/>
    <w:rsid w:val="004824CD"/>
    <w:rsid w:val="00483D70"/>
    <w:rsid w:val="004852E1"/>
    <w:rsid w:val="004910D4"/>
    <w:rsid w:val="004913F9"/>
    <w:rsid w:val="0049246E"/>
    <w:rsid w:val="00492CD6"/>
    <w:rsid w:val="00492FAD"/>
    <w:rsid w:val="00493FBD"/>
    <w:rsid w:val="0049472C"/>
    <w:rsid w:val="00494D51"/>
    <w:rsid w:val="00494FB1"/>
    <w:rsid w:val="00496576"/>
    <w:rsid w:val="00496638"/>
    <w:rsid w:val="004A045F"/>
    <w:rsid w:val="004A1DF1"/>
    <w:rsid w:val="004A3DE9"/>
    <w:rsid w:val="004A6A3E"/>
    <w:rsid w:val="004A6E89"/>
    <w:rsid w:val="004B26D4"/>
    <w:rsid w:val="004B378F"/>
    <w:rsid w:val="004B42BF"/>
    <w:rsid w:val="004B4C9C"/>
    <w:rsid w:val="004B5743"/>
    <w:rsid w:val="004B72DB"/>
    <w:rsid w:val="004C0A00"/>
    <w:rsid w:val="004C18AA"/>
    <w:rsid w:val="004C2CEA"/>
    <w:rsid w:val="004C4D9B"/>
    <w:rsid w:val="004C5082"/>
    <w:rsid w:val="004C5426"/>
    <w:rsid w:val="004C6BCD"/>
    <w:rsid w:val="004C7903"/>
    <w:rsid w:val="004C7B36"/>
    <w:rsid w:val="004D06D9"/>
    <w:rsid w:val="004D6443"/>
    <w:rsid w:val="004D6AAE"/>
    <w:rsid w:val="004D7AB2"/>
    <w:rsid w:val="004D7F06"/>
    <w:rsid w:val="004E081E"/>
    <w:rsid w:val="004E0A50"/>
    <w:rsid w:val="004E1008"/>
    <w:rsid w:val="004E29D8"/>
    <w:rsid w:val="004E5413"/>
    <w:rsid w:val="004E6D52"/>
    <w:rsid w:val="004F2C07"/>
    <w:rsid w:val="004F6711"/>
    <w:rsid w:val="004F77DF"/>
    <w:rsid w:val="0050058A"/>
    <w:rsid w:val="0050199A"/>
    <w:rsid w:val="00501B0E"/>
    <w:rsid w:val="00503AF0"/>
    <w:rsid w:val="00506539"/>
    <w:rsid w:val="00510802"/>
    <w:rsid w:val="00510E87"/>
    <w:rsid w:val="005124CE"/>
    <w:rsid w:val="00514811"/>
    <w:rsid w:val="00515D0F"/>
    <w:rsid w:val="005172A1"/>
    <w:rsid w:val="005339C5"/>
    <w:rsid w:val="005402D1"/>
    <w:rsid w:val="00540BB1"/>
    <w:rsid w:val="0054220F"/>
    <w:rsid w:val="00542F8E"/>
    <w:rsid w:val="005438F8"/>
    <w:rsid w:val="0054569A"/>
    <w:rsid w:val="00547851"/>
    <w:rsid w:val="0055000D"/>
    <w:rsid w:val="0055037D"/>
    <w:rsid w:val="005509E5"/>
    <w:rsid w:val="00554155"/>
    <w:rsid w:val="00554AC7"/>
    <w:rsid w:val="00555558"/>
    <w:rsid w:val="0055621D"/>
    <w:rsid w:val="00557044"/>
    <w:rsid w:val="00563A06"/>
    <w:rsid w:val="00563A5B"/>
    <w:rsid w:val="00563FCF"/>
    <w:rsid w:val="00565248"/>
    <w:rsid w:val="00565E53"/>
    <w:rsid w:val="005663BC"/>
    <w:rsid w:val="00566AA9"/>
    <w:rsid w:val="00566B12"/>
    <w:rsid w:val="005672CA"/>
    <w:rsid w:val="00567AC1"/>
    <w:rsid w:val="00570084"/>
    <w:rsid w:val="00570657"/>
    <w:rsid w:val="0057079C"/>
    <w:rsid w:val="005717BF"/>
    <w:rsid w:val="005734FA"/>
    <w:rsid w:val="00573E6D"/>
    <w:rsid w:val="00573FFB"/>
    <w:rsid w:val="00575A4A"/>
    <w:rsid w:val="00576EFD"/>
    <w:rsid w:val="00576F73"/>
    <w:rsid w:val="00577C63"/>
    <w:rsid w:val="00577C71"/>
    <w:rsid w:val="00577CF1"/>
    <w:rsid w:val="005802B7"/>
    <w:rsid w:val="00580EBD"/>
    <w:rsid w:val="00584653"/>
    <w:rsid w:val="005849C0"/>
    <w:rsid w:val="00587B54"/>
    <w:rsid w:val="00590C67"/>
    <w:rsid w:val="00591A6A"/>
    <w:rsid w:val="00591B1F"/>
    <w:rsid w:val="00593782"/>
    <w:rsid w:val="00597C8A"/>
    <w:rsid w:val="005A0F7D"/>
    <w:rsid w:val="005A217B"/>
    <w:rsid w:val="005A3543"/>
    <w:rsid w:val="005A6FBA"/>
    <w:rsid w:val="005B01F6"/>
    <w:rsid w:val="005B040D"/>
    <w:rsid w:val="005B25AF"/>
    <w:rsid w:val="005B273F"/>
    <w:rsid w:val="005B573A"/>
    <w:rsid w:val="005B6F12"/>
    <w:rsid w:val="005B70BD"/>
    <w:rsid w:val="005B7BC5"/>
    <w:rsid w:val="005C03CA"/>
    <w:rsid w:val="005C05A6"/>
    <w:rsid w:val="005C0C11"/>
    <w:rsid w:val="005C1470"/>
    <w:rsid w:val="005C1E45"/>
    <w:rsid w:val="005C2A93"/>
    <w:rsid w:val="005C33C9"/>
    <w:rsid w:val="005C34A2"/>
    <w:rsid w:val="005C3B4C"/>
    <w:rsid w:val="005C53D3"/>
    <w:rsid w:val="005C57B5"/>
    <w:rsid w:val="005C5AFB"/>
    <w:rsid w:val="005C7DD8"/>
    <w:rsid w:val="005D0133"/>
    <w:rsid w:val="005D14EF"/>
    <w:rsid w:val="005D2AF6"/>
    <w:rsid w:val="005D4043"/>
    <w:rsid w:val="005D710F"/>
    <w:rsid w:val="005E051F"/>
    <w:rsid w:val="005E1910"/>
    <w:rsid w:val="005E2B27"/>
    <w:rsid w:val="005E3C65"/>
    <w:rsid w:val="005E4170"/>
    <w:rsid w:val="005E43B8"/>
    <w:rsid w:val="005E4CBE"/>
    <w:rsid w:val="005E6641"/>
    <w:rsid w:val="005E6822"/>
    <w:rsid w:val="005F034F"/>
    <w:rsid w:val="005F102E"/>
    <w:rsid w:val="005F1660"/>
    <w:rsid w:val="005F1CF2"/>
    <w:rsid w:val="005F43AE"/>
    <w:rsid w:val="005F4A82"/>
    <w:rsid w:val="005F4D2D"/>
    <w:rsid w:val="00600A92"/>
    <w:rsid w:val="006033A6"/>
    <w:rsid w:val="00604FF0"/>
    <w:rsid w:val="006066C8"/>
    <w:rsid w:val="00606E35"/>
    <w:rsid w:val="0061358F"/>
    <w:rsid w:val="006141E2"/>
    <w:rsid w:val="006144A4"/>
    <w:rsid w:val="00614DCE"/>
    <w:rsid w:val="00615774"/>
    <w:rsid w:val="00615E77"/>
    <w:rsid w:val="00624F08"/>
    <w:rsid w:val="006250D1"/>
    <w:rsid w:val="00626CF7"/>
    <w:rsid w:val="0063020A"/>
    <w:rsid w:val="006305E6"/>
    <w:rsid w:val="0063238A"/>
    <w:rsid w:val="00633397"/>
    <w:rsid w:val="00634810"/>
    <w:rsid w:val="00640200"/>
    <w:rsid w:val="006402BC"/>
    <w:rsid w:val="00640D70"/>
    <w:rsid w:val="00641DCE"/>
    <w:rsid w:val="00643A5A"/>
    <w:rsid w:val="006440FB"/>
    <w:rsid w:val="00644827"/>
    <w:rsid w:val="00645C4B"/>
    <w:rsid w:val="00646947"/>
    <w:rsid w:val="00646A01"/>
    <w:rsid w:val="00647027"/>
    <w:rsid w:val="00647D77"/>
    <w:rsid w:val="00652724"/>
    <w:rsid w:val="00654BB5"/>
    <w:rsid w:val="006558D9"/>
    <w:rsid w:val="006608F0"/>
    <w:rsid w:val="00661EF6"/>
    <w:rsid w:val="00662FC9"/>
    <w:rsid w:val="0066383F"/>
    <w:rsid w:val="00665932"/>
    <w:rsid w:val="00666149"/>
    <w:rsid w:val="006700CD"/>
    <w:rsid w:val="00671A11"/>
    <w:rsid w:val="006747DF"/>
    <w:rsid w:val="00674E8C"/>
    <w:rsid w:val="00675B4E"/>
    <w:rsid w:val="006805B8"/>
    <w:rsid w:val="006805E4"/>
    <w:rsid w:val="0068188E"/>
    <w:rsid w:val="00681B88"/>
    <w:rsid w:val="0068370B"/>
    <w:rsid w:val="00683964"/>
    <w:rsid w:val="00683D80"/>
    <w:rsid w:val="00685097"/>
    <w:rsid w:val="00685794"/>
    <w:rsid w:val="006871EA"/>
    <w:rsid w:val="006879D5"/>
    <w:rsid w:val="00687BEC"/>
    <w:rsid w:val="00687F51"/>
    <w:rsid w:val="00691F5B"/>
    <w:rsid w:val="006927C2"/>
    <w:rsid w:val="00693D30"/>
    <w:rsid w:val="006974F0"/>
    <w:rsid w:val="006978AE"/>
    <w:rsid w:val="006A298A"/>
    <w:rsid w:val="006A2F94"/>
    <w:rsid w:val="006A36D4"/>
    <w:rsid w:val="006A402E"/>
    <w:rsid w:val="006A4084"/>
    <w:rsid w:val="006A53C9"/>
    <w:rsid w:val="006B0D59"/>
    <w:rsid w:val="006B22D8"/>
    <w:rsid w:val="006B3717"/>
    <w:rsid w:val="006B402A"/>
    <w:rsid w:val="006C1204"/>
    <w:rsid w:val="006C226C"/>
    <w:rsid w:val="006C42C0"/>
    <w:rsid w:val="006C576E"/>
    <w:rsid w:val="006C758D"/>
    <w:rsid w:val="006C7FD1"/>
    <w:rsid w:val="006D0153"/>
    <w:rsid w:val="006D1327"/>
    <w:rsid w:val="006D2032"/>
    <w:rsid w:val="006D409C"/>
    <w:rsid w:val="006D5623"/>
    <w:rsid w:val="006D66B6"/>
    <w:rsid w:val="006D67AD"/>
    <w:rsid w:val="006D7769"/>
    <w:rsid w:val="006E167F"/>
    <w:rsid w:val="006E299A"/>
    <w:rsid w:val="006E3B0B"/>
    <w:rsid w:val="006E49C9"/>
    <w:rsid w:val="006F2FD9"/>
    <w:rsid w:val="006F68F3"/>
    <w:rsid w:val="006F7259"/>
    <w:rsid w:val="00702041"/>
    <w:rsid w:val="00704397"/>
    <w:rsid w:val="0070672F"/>
    <w:rsid w:val="00710160"/>
    <w:rsid w:val="007102E2"/>
    <w:rsid w:val="00712D65"/>
    <w:rsid w:val="00715243"/>
    <w:rsid w:val="007170C4"/>
    <w:rsid w:val="007222C0"/>
    <w:rsid w:val="00725484"/>
    <w:rsid w:val="00731F0A"/>
    <w:rsid w:val="00731F4C"/>
    <w:rsid w:val="00737CFB"/>
    <w:rsid w:val="007402FA"/>
    <w:rsid w:val="00741B58"/>
    <w:rsid w:val="007438E8"/>
    <w:rsid w:val="00744A1D"/>
    <w:rsid w:val="0074552D"/>
    <w:rsid w:val="00750F17"/>
    <w:rsid w:val="007549DF"/>
    <w:rsid w:val="007568BB"/>
    <w:rsid w:val="007617BA"/>
    <w:rsid w:val="007624A3"/>
    <w:rsid w:val="00763A14"/>
    <w:rsid w:val="0076589B"/>
    <w:rsid w:val="00766015"/>
    <w:rsid w:val="007660EB"/>
    <w:rsid w:val="00770959"/>
    <w:rsid w:val="00770E13"/>
    <w:rsid w:val="007735B8"/>
    <w:rsid w:val="0077636A"/>
    <w:rsid w:val="00776C52"/>
    <w:rsid w:val="00782200"/>
    <w:rsid w:val="00782526"/>
    <w:rsid w:val="00783AEF"/>
    <w:rsid w:val="007856C9"/>
    <w:rsid w:val="00785747"/>
    <w:rsid w:val="00786151"/>
    <w:rsid w:val="00786D4B"/>
    <w:rsid w:val="007876B0"/>
    <w:rsid w:val="00790329"/>
    <w:rsid w:val="00791B4B"/>
    <w:rsid w:val="00792BAC"/>
    <w:rsid w:val="0079505A"/>
    <w:rsid w:val="00795A30"/>
    <w:rsid w:val="007A1632"/>
    <w:rsid w:val="007A1799"/>
    <w:rsid w:val="007A1C32"/>
    <w:rsid w:val="007A2F8B"/>
    <w:rsid w:val="007A3740"/>
    <w:rsid w:val="007A503A"/>
    <w:rsid w:val="007A68DE"/>
    <w:rsid w:val="007A7E51"/>
    <w:rsid w:val="007B22BF"/>
    <w:rsid w:val="007B2BDE"/>
    <w:rsid w:val="007B2BE6"/>
    <w:rsid w:val="007B583E"/>
    <w:rsid w:val="007C0695"/>
    <w:rsid w:val="007D1351"/>
    <w:rsid w:val="007D2335"/>
    <w:rsid w:val="007D2D2A"/>
    <w:rsid w:val="007D30B1"/>
    <w:rsid w:val="007D39F8"/>
    <w:rsid w:val="007D4563"/>
    <w:rsid w:val="007D464A"/>
    <w:rsid w:val="007E1683"/>
    <w:rsid w:val="007E25A3"/>
    <w:rsid w:val="007E270F"/>
    <w:rsid w:val="007E3256"/>
    <w:rsid w:val="007E32D6"/>
    <w:rsid w:val="007E3BC9"/>
    <w:rsid w:val="007E3F77"/>
    <w:rsid w:val="007E5857"/>
    <w:rsid w:val="007F0AB4"/>
    <w:rsid w:val="007F0B57"/>
    <w:rsid w:val="007F17FC"/>
    <w:rsid w:val="007F1D8D"/>
    <w:rsid w:val="007F1DC0"/>
    <w:rsid w:val="007F3EF0"/>
    <w:rsid w:val="00801084"/>
    <w:rsid w:val="0080135F"/>
    <w:rsid w:val="00803A14"/>
    <w:rsid w:val="00803F71"/>
    <w:rsid w:val="008068F1"/>
    <w:rsid w:val="0080691F"/>
    <w:rsid w:val="00807C66"/>
    <w:rsid w:val="0081077A"/>
    <w:rsid w:val="00810791"/>
    <w:rsid w:val="00810F2D"/>
    <w:rsid w:val="00811248"/>
    <w:rsid w:val="00811A99"/>
    <w:rsid w:val="00812AA4"/>
    <w:rsid w:val="0081546E"/>
    <w:rsid w:val="00815E83"/>
    <w:rsid w:val="00817598"/>
    <w:rsid w:val="00820118"/>
    <w:rsid w:val="00820A43"/>
    <w:rsid w:val="008212BD"/>
    <w:rsid w:val="0082277A"/>
    <w:rsid w:val="00825245"/>
    <w:rsid w:val="00827008"/>
    <w:rsid w:val="00827C93"/>
    <w:rsid w:val="008301CA"/>
    <w:rsid w:val="008302B9"/>
    <w:rsid w:val="008305FB"/>
    <w:rsid w:val="008318C5"/>
    <w:rsid w:val="00831F46"/>
    <w:rsid w:val="008325AA"/>
    <w:rsid w:val="008331A9"/>
    <w:rsid w:val="00835B38"/>
    <w:rsid w:val="00837572"/>
    <w:rsid w:val="008407C6"/>
    <w:rsid w:val="00841003"/>
    <w:rsid w:val="00842B3A"/>
    <w:rsid w:val="00846880"/>
    <w:rsid w:val="00856187"/>
    <w:rsid w:val="00857974"/>
    <w:rsid w:val="0086049B"/>
    <w:rsid w:val="00861644"/>
    <w:rsid w:val="0086164A"/>
    <w:rsid w:val="00862990"/>
    <w:rsid w:val="00862E3F"/>
    <w:rsid w:val="008645AB"/>
    <w:rsid w:val="008668F0"/>
    <w:rsid w:val="00866911"/>
    <w:rsid w:val="00870AC9"/>
    <w:rsid w:val="00871F9D"/>
    <w:rsid w:val="00873D3A"/>
    <w:rsid w:val="008842CB"/>
    <w:rsid w:val="0088733A"/>
    <w:rsid w:val="008879BC"/>
    <w:rsid w:val="00890B60"/>
    <w:rsid w:val="0089360C"/>
    <w:rsid w:val="0089630D"/>
    <w:rsid w:val="008A25F0"/>
    <w:rsid w:val="008A2E9E"/>
    <w:rsid w:val="008A61B2"/>
    <w:rsid w:val="008A75FA"/>
    <w:rsid w:val="008A7BFD"/>
    <w:rsid w:val="008B1762"/>
    <w:rsid w:val="008B287C"/>
    <w:rsid w:val="008B7048"/>
    <w:rsid w:val="008C0010"/>
    <w:rsid w:val="008C453A"/>
    <w:rsid w:val="008C4B41"/>
    <w:rsid w:val="008C60E6"/>
    <w:rsid w:val="008D0072"/>
    <w:rsid w:val="008D17A8"/>
    <w:rsid w:val="008D347B"/>
    <w:rsid w:val="008D3716"/>
    <w:rsid w:val="008D5692"/>
    <w:rsid w:val="008D5774"/>
    <w:rsid w:val="008D60EC"/>
    <w:rsid w:val="008E1B66"/>
    <w:rsid w:val="008E28DA"/>
    <w:rsid w:val="008E6AAD"/>
    <w:rsid w:val="008E7F2E"/>
    <w:rsid w:val="008F4672"/>
    <w:rsid w:val="008F5359"/>
    <w:rsid w:val="008F71FB"/>
    <w:rsid w:val="00903406"/>
    <w:rsid w:val="009056F2"/>
    <w:rsid w:val="00905B05"/>
    <w:rsid w:val="00906612"/>
    <w:rsid w:val="0091051C"/>
    <w:rsid w:val="00914425"/>
    <w:rsid w:val="0091573C"/>
    <w:rsid w:val="009158A3"/>
    <w:rsid w:val="00922631"/>
    <w:rsid w:val="00923DE4"/>
    <w:rsid w:val="009241F3"/>
    <w:rsid w:val="009243D1"/>
    <w:rsid w:val="009254C8"/>
    <w:rsid w:val="00925588"/>
    <w:rsid w:val="00926985"/>
    <w:rsid w:val="009277AB"/>
    <w:rsid w:val="00930D43"/>
    <w:rsid w:val="00934740"/>
    <w:rsid w:val="00936106"/>
    <w:rsid w:val="00937AD8"/>
    <w:rsid w:val="00942F87"/>
    <w:rsid w:val="009432BE"/>
    <w:rsid w:val="0094584B"/>
    <w:rsid w:val="009478AD"/>
    <w:rsid w:val="00950CA4"/>
    <w:rsid w:val="00951115"/>
    <w:rsid w:val="009519CD"/>
    <w:rsid w:val="009543C6"/>
    <w:rsid w:val="009551B0"/>
    <w:rsid w:val="009569B5"/>
    <w:rsid w:val="00957415"/>
    <w:rsid w:val="00957694"/>
    <w:rsid w:val="0095787A"/>
    <w:rsid w:val="009614DE"/>
    <w:rsid w:val="00961919"/>
    <w:rsid w:val="0096237A"/>
    <w:rsid w:val="009640F4"/>
    <w:rsid w:val="009664F0"/>
    <w:rsid w:val="00971423"/>
    <w:rsid w:val="009727BB"/>
    <w:rsid w:val="00980781"/>
    <w:rsid w:val="00981811"/>
    <w:rsid w:val="009820DA"/>
    <w:rsid w:val="009829FA"/>
    <w:rsid w:val="00985DB2"/>
    <w:rsid w:val="009879CE"/>
    <w:rsid w:val="00990DA2"/>
    <w:rsid w:val="00992A1E"/>
    <w:rsid w:val="00993F10"/>
    <w:rsid w:val="009941D6"/>
    <w:rsid w:val="00994A55"/>
    <w:rsid w:val="00995999"/>
    <w:rsid w:val="00996637"/>
    <w:rsid w:val="009A00D1"/>
    <w:rsid w:val="009A28DF"/>
    <w:rsid w:val="009A2C5A"/>
    <w:rsid w:val="009A3E51"/>
    <w:rsid w:val="009A46E2"/>
    <w:rsid w:val="009A59B1"/>
    <w:rsid w:val="009B02F9"/>
    <w:rsid w:val="009B0BF9"/>
    <w:rsid w:val="009B0DB9"/>
    <w:rsid w:val="009B1FDF"/>
    <w:rsid w:val="009B2ABE"/>
    <w:rsid w:val="009B3AEB"/>
    <w:rsid w:val="009B3B7A"/>
    <w:rsid w:val="009B63E1"/>
    <w:rsid w:val="009B65DC"/>
    <w:rsid w:val="009C244C"/>
    <w:rsid w:val="009C6061"/>
    <w:rsid w:val="009C6443"/>
    <w:rsid w:val="009D087D"/>
    <w:rsid w:val="009D1B54"/>
    <w:rsid w:val="009D2C32"/>
    <w:rsid w:val="009D5B7E"/>
    <w:rsid w:val="009D61EF"/>
    <w:rsid w:val="009E320F"/>
    <w:rsid w:val="009E3382"/>
    <w:rsid w:val="009E6A26"/>
    <w:rsid w:val="009F12BC"/>
    <w:rsid w:val="009F15FD"/>
    <w:rsid w:val="009F18B2"/>
    <w:rsid w:val="009F224B"/>
    <w:rsid w:val="009F283A"/>
    <w:rsid w:val="009F40CD"/>
    <w:rsid w:val="009F4501"/>
    <w:rsid w:val="009F7132"/>
    <w:rsid w:val="009F767B"/>
    <w:rsid w:val="009F76AF"/>
    <w:rsid w:val="00A01683"/>
    <w:rsid w:val="00A0214E"/>
    <w:rsid w:val="00A03E16"/>
    <w:rsid w:val="00A059CA"/>
    <w:rsid w:val="00A1128A"/>
    <w:rsid w:val="00A11CA4"/>
    <w:rsid w:val="00A121C1"/>
    <w:rsid w:val="00A12D71"/>
    <w:rsid w:val="00A131F3"/>
    <w:rsid w:val="00A13A43"/>
    <w:rsid w:val="00A14692"/>
    <w:rsid w:val="00A14D7F"/>
    <w:rsid w:val="00A167D7"/>
    <w:rsid w:val="00A16D18"/>
    <w:rsid w:val="00A16E74"/>
    <w:rsid w:val="00A17C54"/>
    <w:rsid w:val="00A20D54"/>
    <w:rsid w:val="00A20EFD"/>
    <w:rsid w:val="00A2123D"/>
    <w:rsid w:val="00A21697"/>
    <w:rsid w:val="00A2197F"/>
    <w:rsid w:val="00A26555"/>
    <w:rsid w:val="00A26A0D"/>
    <w:rsid w:val="00A275C9"/>
    <w:rsid w:val="00A30061"/>
    <w:rsid w:val="00A3180C"/>
    <w:rsid w:val="00A335C7"/>
    <w:rsid w:val="00A33FF2"/>
    <w:rsid w:val="00A34E16"/>
    <w:rsid w:val="00A3567B"/>
    <w:rsid w:val="00A36A67"/>
    <w:rsid w:val="00A4022F"/>
    <w:rsid w:val="00A406D5"/>
    <w:rsid w:val="00A407BE"/>
    <w:rsid w:val="00A409BA"/>
    <w:rsid w:val="00A41FBF"/>
    <w:rsid w:val="00A4270A"/>
    <w:rsid w:val="00A46281"/>
    <w:rsid w:val="00A46B90"/>
    <w:rsid w:val="00A55476"/>
    <w:rsid w:val="00A57530"/>
    <w:rsid w:val="00A60156"/>
    <w:rsid w:val="00A6130C"/>
    <w:rsid w:val="00A619CB"/>
    <w:rsid w:val="00A61A02"/>
    <w:rsid w:val="00A631A0"/>
    <w:rsid w:val="00A638BF"/>
    <w:rsid w:val="00A65B61"/>
    <w:rsid w:val="00A73BE8"/>
    <w:rsid w:val="00A75214"/>
    <w:rsid w:val="00A77226"/>
    <w:rsid w:val="00A77B88"/>
    <w:rsid w:val="00A83A8E"/>
    <w:rsid w:val="00A83B18"/>
    <w:rsid w:val="00A83C41"/>
    <w:rsid w:val="00A84322"/>
    <w:rsid w:val="00A85F1A"/>
    <w:rsid w:val="00A860C9"/>
    <w:rsid w:val="00A86619"/>
    <w:rsid w:val="00A87610"/>
    <w:rsid w:val="00A92AA2"/>
    <w:rsid w:val="00A95CBD"/>
    <w:rsid w:val="00A96EE8"/>
    <w:rsid w:val="00A97E12"/>
    <w:rsid w:val="00AA3927"/>
    <w:rsid w:val="00AA3A93"/>
    <w:rsid w:val="00AA3FF5"/>
    <w:rsid w:val="00AA489A"/>
    <w:rsid w:val="00AA5264"/>
    <w:rsid w:val="00AA5973"/>
    <w:rsid w:val="00AA6653"/>
    <w:rsid w:val="00AA7816"/>
    <w:rsid w:val="00AA7A96"/>
    <w:rsid w:val="00AB0380"/>
    <w:rsid w:val="00AB3526"/>
    <w:rsid w:val="00AB5ED0"/>
    <w:rsid w:val="00AC1208"/>
    <w:rsid w:val="00AC1ACE"/>
    <w:rsid w:val="00AC289D"/>
    <w:rsid w:val="00AC5D21"/>
    <w:rsid w:val="00AC5E6F"/>
    <w:rsid w:val="00AC6090"/>
    <w:rsid w:val="00AD0D8D"/>
    <w:rsid w:val="00AD170F"/>
    <w:rsid w:val="00AD1EE2"/>
    <w:rsid w:val="00AD3AB1"/>
    <w:rsid w:val="00AD41B4"/>
    <w:rsid w:val="00AE1B0D"/>
    <w:rsid w:val="00AE23AC"/>
    <w:rsid w:val="00AE27DB"/>
    <w:rsid w:val="00AE27E1"/>
    <w:rsid w:val="00AE3CAB"/>
    <w:rsid w:val="00AE3CE0"/>
    <w:rsid w:val="00AE475E"/>
    <w:rsid w:val="00AE4992"/>
    <w:rsid w:val="00AE6189"/>
    <w:rsid w:val="00AE733F"/>
    <w:rsid w:val="00AE765A"/>
    <w:rsid w:val="00AF1F7D"/>
    <w:rsid w:val="00AF3BC8"/>
    <w:rsid w:val="00AF584B"/>
    <w:rsid w:val="00AF6158"/>
    <w:rsid w:val="00AF688E"/>
    <w:rsid w:val="00B00579"/>
    <w:rsid w:val="00B0216C"/>
    <w:rsid w:val="00B02AF1"/>
    <w:rsid w:val="00B0772E"/>
    <w:rsid w:val="00B1040E"/>
    <w:rsid w:val="00B10976"/>
    <w:rsid w:val="00B127BD"/>
    <w:rsid w:val="00B13D46"/>
    <w:rsid w:val="00B1573B"/>
    <w:rsid w:val="00B202FE"/>
    <w:rsid w:val="00B2362C"/>
    <w:rsid w:val="00B24636"/>
    <w:rsid w:val="00B306E7"/>
    <w:rsid w:val="00B3115C"/>
    <w:rsid w:val="00B314B0"/>
    <w:rsid w:val="00B34F39"/>
    <w:rsid w:val="00B3593E"/>
    <w:rsid w:val="00B35C74"/>
    <w:rsid w:val="00B36A6E"/>
    <w:rsid w:val="00B44239"/>
    <w:rsid w:val="00B4580D"/>
    <w:rsid w:val="00B51B99"/>
    <w:rsid w:val="00B53716"/>
    <w:rsid w:val="00B54205"/>
    <w:rsid w:val="00B558CA"/>
    <w:rsid w:val="00B56CC6"/>
    <w:rsid w:val="00B61D17"/>
    <w:rsid w:val="00B64B1A"/>
    <w:rsid w:val="00B6559F"/>
    <w:rsid w:val="00B65E54"/>
    <w:rsid w:val="00B66096"/>
    <w:rsid w:val="00B7237D"/>
    <w:rsid w:val="00B73B3C"/>
    <w:rsid w:val="00B76A73"/>
    <w:rsid w:val="00B832D4"/>
    <w:rsid w:val="00B83CCE"/>
    <w:rsid w:val="00B863CC"/>
    <w:rsid w:val="00B9061D"/>
    <w:rsid w:val="00B9151B"/>
    <w:rsid w:val="00B92318"/>
    <w:rsid w:val="00B925CE"/>
    <w:rsid w:val="00B95398"/>
    <w:rsid w:val="00B953F6"/>
    <w:rsid w:val="00BA66CD"/>
    <w:rsid w:val="00BA7DB0"/>
    <w:rsid w:val="00BB0B26"/>
    <w:rsid w:val="00BB2D7A"/>
    <w:rsid w:val="00BB3595"/>
    <w:rsid w:val="00BB446C"/>
    <w:rsid w:val="00BB4605"/>
    <w:rsid w:val="00BB5BDE"/>
    <w:rsid w:val="00BB7FD3"/>
    <w:rsid w:val="00BC05FA"/>
    <w:rsid w:val="00BC14FD"/>
    <w:rsid w:val="00BC3086"/>
    <w:rsid w:val="00BC37BD"/>
    <w:rsid w:val="00BC5095"/>
    <w:rsid w:val="00BC5344"/>
    <w:rsid w:val="00BC60F0"/>
    <w:rsid w:val="00BD4290"/>
    <w:rsid w:val="00BD44F4"/>
    <w:rsid w:val="00BD65B3"/>
    <w:rsid w:val="00BD7B7D"/>
    <w:rsid w:val="00BE2C45"/>
    <w:rsid w:val="00BE4833"/>
    <w:rsid w:val="00BE5121"/>
    <w:rsid w:val="00BE5B22"/>
    <w:rsid w:val="00BE5BE8"/>
    <w:rsid w:val="00BE68E4"/>
    <w:rsid w:val="00BE710B"/>
    <w:rsid w:val="00BE7295"/>
    <w:rsid w:val="00BE7E4E"/>
    <w:rsid w:val="00BF53FF"/>
    <w:rsid w:val="00BF7E5C"/>
    <w:rsid w:val="00C01810"/>
    <w:rsid w:val="00C034B5"/>
    <w:rsid w:val="00C06943"/>
    <w:rsid w:val="00C07F73"/>
    <w:rsid w:val="00C10348"/>
    <w:rsid w:val="00C14626"/>
    <w:rsid w:val="00C17AC9"/>
    <w:rsid w:val="00C21283"/>
    <w:rsid w:val="00C22CC4"/>
    <w:rsid w:val="00C23D9E"/>
    <w:rsid w:val="00C30BE2"/>
    <w:rsid w:val="00C31B0A"/>
    <w:rsid w:val="00C32F86"/>
    <w:rsid w:val="00C35AD7"/>
    <w:rsid w:val="00C4008A"/>
    <w:rsid w:val="00C41133"/>
    <w:rsid w:val="00C42F1B"/>
    <w:rsid w:val="00C436B5"/>
    <w:rsid w:val="00C4422D"/>
    <w:rsid w:val="00C450AD"/>
    <w:rsid w:val="00C4677D"/>
    <w:rsid w:val="00C46B3B"/>
    <w:rsid w:val="00C47EDB"/>
    <w:rsid w:val="00C50F4F"/>
    <w:rsid w:val="00C51BE1"/>
    <w:rsid w:val="00C5505D"/>
    <w:rsid w:val="00C567AE"/>
    <w:rsid w:val="00C631B5"/>
    <w:rsid w:val="00C64682"/>
    <w:rsid w:val="00C6516C"/>
    <w:rsid w:val="00C66BCF"/>
    <w:rsid w:val="00C72759"/>
    <w:rsid w:val="00C741D2"/>
    <w:rsid w:val="00C75873"/>
    <w:rsid w:val="00C765D7"/>
    <w:rsid w:val="00C77583"/>
    <w:rsid w:val="00C77B66"/>
    <w:rsid w:val="00C85796"/>
    <w:rsid w:val="00C86732"/>
    <w:rsid w:val="00C86C73"/>
    <w:rsid w:val="00C872EA"/>
    <w:rsid w:val="00C87D62"/>
    <w:rsid w:val="00C95DD0"/>
    <w:rsid w:val="00C960D1"/>
    <w:rsid w:val="00C96693"/>
    <w:rsid w:val="00C976D8"/>
    <w:rsid w:val="00C97EB4"/>
    <w:rsid w:val="00CA05F0"/>
    <w:rsid w:val="00CA07BC"/>
    <w:rsid w:val="00CA09FC"/>
    <w:rsid w:val="00CA3B1D"/>
    <w:rsid w:val="00CB12A5"/>
    <w:rsid w:val="00CB3FDF"/>
    <w:rsid w:val="00CB4822"/>
    <w:rsid w:val="00CB6098"/>
    <w:rsid w:val="00CC34BE"/>
    <w:rsid w:val="00CC3BA8"/>
    <w:rsid w:val="00CC3DD7"/>
    <w:rsid w:val="00CC427A"/>
    <w:rsid w:val="00CC5983"/>
    <w:rsid w:val="00CC651A"/>
    <w:rsid w:val="00CC7BB7"/>
    <w:rsid w:val="00CD0332"/>
    <w:rsid w:val="00CD0E58"/>
    <w:rsid w:val="00CD414F"/>
    <w:rsid w:val="00CD4B32"/>
    <w:rsid w:val="00CD5E09"/>
    <w:rsid w:val="00CD648D"/>
    <w:rsid w:val="00CD785D"/>
    <w:rsid w:val="00CE1769"/>
    <w:rsid w:val="00CE2DE3"/>
    <w:rsid w:val="00CE3D9D"/>
    <w:rsid w:val="00CE42E3"/>
    <w:rsid w:val="00CE55BE"/>
    <w:rsid w:val="00CE6532"/>
    <w:rsid w:val="00CE7E31"/>
    <w:rsid w:val="00CF18EF"/>
    <w:rsid w:val="00CF2ADD"/>
    <w:rsid w:val="00CF41C1"/>
    <w:rsid w:val="00CF4947"/>
    <w:rsid w:val="00CF4D80"/>
    <w:rsid w:val="00CF5E36"/>
    <w:rsid w:val="00CF63EC"/>
    <w:rsid w:val="00CF7B55"/>
    <w:rsid w:val="00D03B40"/>
    <w:rsid w:val="00D05217"/>
    <w:rsid w:val="00D06104"/>
    <w:rsid w:val="00D100E8"/>
    <w:rsid w:val="00D1081F"/>
    <w:rsid w:val="00D11EBE"/>
    <w:rsid w:val="00D13281"/>
    <w:rsid w:val="00D14180"/>
    <w:rsid w:val="00D16195"/>
    <w:rsid w:val="00D21454"/>
    <w:rsid w:val="00D2417E"/>
    <w:rsid w:val="00D31E64"/>
    <w:rsid w:val="00D31F70"/>
    <w:rsid w:val="00D3376B"/>
    <w:rsid w:val="00D34C37"/>
    <w:rsid w:val="00D360F0"/>
    <w:rsid w:val="00D36DEA"/>
    <w:rsid w:val="00D40CAB"/>
    <w:rsid w:val="00D4447E"/>
    <w:rsid w:val="00D444E2"/>
    <w:rsid w:val="00D445B9"/>
    <w:rsid w:val="00D44B35"/>
    <w:rsid w:val="00D450C3"/>
    <w:rsid w:val="00D45A80"/>
    <w:rsid w:val="00D47D85"/>
    <w:rsid w:val="00D5144A"/>
    <w:rsid w:val="00D5575B"/>
    <w:rsid w:val="00D57D0D"/>
    <w:rsid w:val="00D62192"/>
    <w:rsid w:val="00D63DBD"/>
    <w:rsid w:val="00D63F6A"/>
    <w:rsid w:val="00D649F7"/>
    <w:rsid w:val="00D64D9B"/>
    <w:rsid w:val="00D6660D"/>
    <w:rsid w:val="00D71B2C"/>
    <w:rsid w:val="00D74368"/>
    <w:rsid w:val="00D764E0"/>
    <w:rsid w:val="00D76691"/>
    <w:rsid w:val="00D779A2"/>
    <w:rsid w:val="00D80040"/>
    <w:rsid w:val="00D822DA"/>
    <w:rsid w:val="00D83B35"/>
    <w:rsid w:val="00D85B05"/>
    <w:rsid w:val="00D8663C"/>
    <w:rsid w:val="00D87574"/>
    <w:rsid w:val="00D90713"/>
    <w:rsid w:val="00D90D60"/>
    <w:rsid w:val="00D91A89"/>
    <w:rsid w:val="00D91F07"/>
    <w:rsid w:val="00D9447B"/>
    <w:rsid w:val="00D969DA"/>
    <w:rsid w:val="00DA441D"/>
    <w:rsid w:val="00DA7333"/>
    <w:rsid w:val="00DB0B81"/>
    <w:rsid w:val="00DB1047"/>
    <w:rsid w:val="00DB22CB"/>
    <w:rsid w:val="00DB2A2D"/>
    <w:rsid w:val="00DB349C"/>
    <w:rsid w:val="00DB456F"/>
    <w:rsid w:val="00DB4F70"/>
    <w:rsid w:val="00DB52B7"/>
    <w:rsid w:val="00DB5426"/>
    <w:rsid w:val="00DB56EA"/>
    <w:rsid w:val="00DC1B1E"/>
    <w:rsid w:val="00DC1C04"/>
    <w:rsid w:val="00DC21DB"/>
    <w:rsid w:val="00DC2514"/>
    <w:rsid w:val="00DC4498"/>
    <w:rsid w:val="00DC5B59"/>
    <w:rsid w:val="00DC648C"/>
    <w:rsid w:val="00DC73C4"/>
    <w:rsid w:val="00DC7ACC"/>
    <w:rsid w:val="00DC7E4E"/>
    <w:rsid w:val="00DC7F5B"/>
    <w:rsid w:val="00DD2318"/>
    <w:rsid w:val="00DD2C5E"/>
    <w:rsid w:val="00DD3A78"/>
    <w:rsid w:val="00DD4BAC"/>
    <w:rsid w:val="00DD5161"/>
    <w:rsid w:val="00DD635B"/>
    <w:rsid w:val="00DD7E7F"/>
    <w:rsid w:val="00DE011F"/>
    <w:rsid w:val="00DE0907"/>
    <w:rsid w:val="00DE097F"/>
    <w:rsid w:val="00DE0D93"/>
    <w:rsid w:val="00DE31BB"/>
    <w:rsid w:val="00DE4291"/>
    <w:rsid w:val="00DE5263"/>
    <w:rsid w:val="00DE6C8F"/>
    <w:rsid w:val="00DF0695"/>
    <w:rsid w:val="00DF21D0"/>
    <w:rsid w:val="00DF2E06"/>
    <w:rsid w:val="00DF4486"/>
    <w:rsid w:val="00DF4AE4"/>
    <w:rsid w:val="00DF4BEE"/>
    <w:rsid w:val="00DF4C55"/>
    <w:rsid w:val="00E000ED"/>
    <w:rsid w:val="00E00EF6"/>
    <w:rsid w:val="00E054F6"/>
    <w:rsid w:val="00E0749B"/>
    <w:rsid w:val="00E12528"/>
    <w:rsid w:val="00E13333"/>
    <w:rsid w:val="00E14CD5"/>
    <w:rsid w:val="00E16E56"/>
    <w:rsid w:val="00E218C0"/>
    <w:rsid w:val="00E22162"/>
    <w:rsid w:val="00E22311"/>
    <w:rsid w:val="00E23A49"/>
    <w:rsid w:val="00E2507A"/>
    <w:rsid w:val="00E25A44"/>
    <w:rsid w:val="00E265C5"/>
    <w:rsid w:val="00E26D16"/>
    <w:rsid w:val="00E26D2B"/>
    <w:rsid w:val="00E272FC"/>
    <w:rsid w:val="00E27545"/>
    <w:rsid w:val="00E27625"/>
    <w:rsid w:val="00E27F35"/>
    <w:rsid w:val="00E307A6"/>
    <w:rsid w:val="00E33BF8"/>
    <w:rsid w:val="00E35193"/>
    <w:rsid w:val="00E36919"/>
    <w:rsid w:val="00E36FF6"/>
    <w:rsid w:val="00E41A19"/>
    <w:rsid w:val="00E5060D"/>
    <w:rsid w:val="00E51698"/>
    <w:rsid w:val="00E53E0F"/>
    <w:rsid w:val="00E62D74"/>
    <w:rsid w:val="00E656DC"/>
    <w:rsid w:val="00E6719A"/>
    <w:rsid w:val="00E6758A"/>
    <w:rsid w:val="00E67EFF"/>
    <w:rsid w:val="00E722E0"/>
    <w:rsid w:val="00E7294E"/>
    <w:rsid w:val="00E73C3B"/>
    <w:rsid w:val="00E74AB2"/>
    <w:rsid w:val="00E75B38"/>
    <w:rsid w:val="00E75C2E"/>
    <w:rsid w:val="00E765A3"/>
    <w:rsid w:val="00E76BF1"/>
    <w:rsid w:val="00E77CE0"/>
    <w:rsid w:val="00E80D00"/>
    <w:rsid w:val="00E8607C"/>
    <w:rsid w:val="00E862BC"/>
    <w:rsid w:val="00E87B52"/>
    <w:rsid w:val="00E9081E"/>
    <w:rsid w:val="00E90DA7"/>
    <w:rsid w:val="00E91EE1"/>
    <w:rsid w:val="00E924D0"/>
    <w:rsid w:val="00E93E3E"/>
    <w:rsid w:val="00E956CE"/>
    <w:rsid w:val="00E96D69"/>
    <w:rsid w:val="00EA0D72"/>
    <w:rsid w:val="00EA4712"/>
    <w:rsid w:val="00EA567A"/>
    <w:rsid w:val="00EA5C2E"/>
    <w:rsid w:val="00EA695B"/>
    <w:rsid w:val="00EA6E60"/>
    <w:rsid w:val="00EB3CDF"/>
    <w:rsid w:val="00EB49BF"/>
    <w:rsid w:val="00EB4D00"/>
    <w:rsid w:val="00EB69FC"/>
    <w:rsid w:val="00EC27E2"/>
    <w:rsid w:val="00EC2CEF"/>
    <w:rsid w:val="00EC6787"/>
    <w:rsid w:val="00EC6C61"/>
    <w:rsid w:val="00EC777D"/>
    <w:rsid w:val="00EC7B6F"/>
    <w:rsid w:val="00ED05E7"/>
    <w:rsid w:val="00ED080A"/>
    <w:rsid w:val="00ED2B92"/>
    <w:rsid w:val="00ED3C09"/>
    <w:rsid w:val="00ED440A"/>
    <w:rsid w:val="00ED541B"/>
    <w:rsid w:val="00ED58FA"/>
    <w:rsid w:val="00ED747A"/>
    <w:rsid w:val="00EE0414"/>
    <w:rsid w:val="00EE091A"/>
    <w:rsid w:val="00EE2FB9"/>
    <w:rsid w:val="00EE3FA6"/>
    <w:rsid w:val="00EE4996"/>
    <w:rsid w:val="00EE77FB"/>
    <w:rsid w:val="00EF449B"/>
    <w:rsid w:val="00EF565F"/>
    <w:rsid w:val="00EF64C6"/>
    <w:rsid w:val="00F010F5"/>
    <w:rsid w:val="00F017F6"/>
    <w:rsid w:val="00F033D4"/>
    <w:rsid w:val="00F0622B"/>
    <w:rsid w:val="00F0651C"/>
    <w:rsid w:val="00F06B62"/>
    <w:rsid w:val="00F0702D"/>
    <w:rsid w:val="00F111C6"/>
    <w:rsid w:val="00F11367"/>
    <w:rsid w:val="00F11C5D"/>
    <w:rsid w:val="00F121F6"/>
    <w:rsid w:val="00F12F8D"/>
    <w:rsid w:val="00F14CE9"/>
    <w:rsid w:val="00F16974"/>
    <w:rsid w:val="00F16C79"/>
    <w:rsid w:val="00F170CE"/>
    <w:rsid w:val="00F17450"/>
    <w:rsid w:val="00F215C5"/>
    <w:rsid w:val="00F23EF2"/>
    <w:rsid w:val="00F320C0"/>
    <w:rsid w:val="00F33A95"/>
    <w:rsid w:val="00F35257"/>
    <w:rsid w:val="00F35511"/>
    <w:rsid w:val="00F36320"/>
    <w:rsid w:val="00F36FA3"/>
    <w:rsid w:val="00F3716F"/>
    <w:rsid w:val="00F37975"/>
    <w:rsid w:val="00F40152"/>
    <w:rsid w:val="00F406E1"/>
    <w:rsid w:val="00F41156"/>
    <w:rsid w:val="00F41EEB"/>
    <w:rsid w:val="00F44122"/>
    <w:rsid w:val="00F46BCA"/>
    <w:rsid w:val="00F471FB"/>
    <w:rsid w:val="00F47301"/>
    <w:rsid w:val="00F50B83"/>
    <w:rsid w:val="00F51846"/>
    <w:rsid w:val="00F52AF2"/>
    <w:rsid w:val="00F52D31"/>
    <w:rsid w:val="00F54A23"/>
    <w:rsid w:val="00F55CCF"/>
    <w:rsid w:val="00F55CF9"/>
    <w:rsid w:val="00F566A9"/>
    <w:rsid w:val="00F6054A"/>
    <w:rsid w:val="00F606DA"/>
    <w:rsid w:val="00F60B6A"/>
    <w:rsid w:val="00F60FCB"/>
    <w:rsid w:val="00F61188"/>
    <w:rsid w:val="00F62909"/>
    <w:rsid w:val="00F63DD2"/>
    <w:rsid w:val="00F64B7B"/>
    <w:rsid w:val="00F652A3"/>
    <w:rsid w:val="00F652D4"/>
    <w:rsid w:val="00F70E7B"/>
    <w:rsid w:val="00F712C0"/>
    <w:rsid w:val="00F7143B"/>
    <w:rsid w:val="00F720DE"/>
    <w:rsid w:val="00F74630"/>
    <w:rsid w:val="00F746A9"/>
    <w:rsid w:val="00F76564"/>
    <w:rsid w:val="00F76E82"/>
    <w:rsid w:val="00F80B37"/>
    <w:rsid w:val="00F85048"/>
    <w:rsid w:val="00F8554A"/>
    <w:rsid w:val="00F858EC"/>
    <w:rsid w:val="00F86DF8"/>
    <w:rsid w:val="00F87F88"/>
    <w:rsid w:val="00F90403"/>
    <w:rsid w:val="00F92245"/>
    <w:rsid w:val="00F933D9"/>
    <w:rsid w:val="00F9453F"/>
    <w:rsid w:val="00F9465C"/>
    <w:rsid w:val="00FA0D07"/>
    <w:rsid w:val="00FA2F61"/>
    <w:rsid w:val="00FA5BD0"/>
    <w:rsid w:val="00FA6B0E"/>
    <w:rsid w:val="00FA720F"/>
    <w:rsid w:val="00FB19C3"/>
    <w:rsid w:val="00FB1DD1"/>
    <w:rsid w:val="00FB1EC3"/>
    <w:rsid w:val="00FB43D5"/>
    <w:rsid w:val="00FB4DB8"/>
    <w:rsid w:val="00FB52A7"/>
    <w:rsid w:val="00FB5F98"/>
    <w:rsid w:val="00FB63C4"/>
    <w:rsid w:val="00FB67C9"/>
    <w:rsid w:val="00FC1643"/>
    <w:rsid w:val="00FC31F0"/>
    <w:rsid w:val="00FC416A"/>
    <w:rsid w:val="00FC5D6B"/>
    <w:rsid w:val="00FC66BC"/>
    <w:rsid w:val="00FD0ACC"/>
    <w:rsid w:val="00FD43FF"/>
    <w:rsid w:val="00FD4D91"/>
    <w:rsid w:val="00FE1BE8"/>
    <w:rsid w:val="00FE1CF6"/>
    <w:rsid w:val="00FE264A"/>
    <w:rsid w:val="00FE2AF7"/>
    <w:rsid w:val="00FE3F25"/>
    <w:rsid w:val="00FE6502"/>
    <w:rsid w:val="00FE6E28"/>
    <w:rsid w:val="00FF192D"/>
    <w:rsid w:val="00FF2697"/>
    <w:rsid w:val="00FF3776"/>
    <w:rsid w:val="00FF6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14180"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rsid w:val="00D14180"/>
    <w:pPr>
      <w:keepNext/>
      <w:numPr>
        <w:numId w:val="1"/>
      </w:numPr>
      <w:spacing w:line="360" w:lineRule="auto"/>
      <w:jc w:val="both"/>
      <w:outlineLvl w:val="0"/>
    </w:pPr>
    <w:rPr>
      <w:b/>
      <w:bCs/>
      <w:sz w:val="36"/>
    </w:rPr>
  </w:style>
  <w:style w:type="paragraph" w:styleId="Nadpis2">
    <w:name w:val="heading 2"/>
    <w:basedOn w:val="Normln"/>
    <w:next w:val="Normln"/>
    <w:qFormat/>
    <w:rsid w:val="00D14180"/>
    <w:pPr>
      <w:keepNext/>
      <w:numPr>
        <w:ilvl w:val="1"/>
        <w:numId w:val="1"/>
      </w:numPr>
      <w:spacing w:line="360" w:lineRule="auto"/>
      <w:jc w:val="both"/>
      <w:outlineLvl w:val="1"/>
    </w:pPr>
    <w:rPr>
      <w:b/>
      <w:bCs/>
      <w:sz w:val="32"/>
    </w:rPr>
  </w:style>
  <w:style w:type="paragraph" w:styleId="Nadpis3">
    <w:name w:val="heading 3"/>
    <w:basedOn w:val="Normln"/>
    <w:next w:val="Normln"/>
    <w:qFormat/>
    <w:rsid w:val="00D14180"/>
    <w:pPr>
      <w:keepNext/>
      <w:numPr>
        <w:ilvl w:val="2"/>
        <w:numId w:val="1"/>
      </w:numPr>
      <w:spacing w:line="360" w:lineRule="auto"/>
      <w:jc w:val="both"/>
      <w:outlineLvl w:val="2"/>
    </w:pPr>
    <w:rPr>
      <w:b/>
      <w:bCs/>
      <w:i/>
      <w:iCs/>
      <w:sz w:val="32"/>
    </w:rPr>
  </w:style>
  <w:style w:type="paragraph" w:styleId="Nadpis4">
    <w:name w:val="heading 4"/>
    <w:basedOn w:val="Normln"/>
    <w:next w:val="Normln"/>
    <w:qFormat/>
    <w:rsid w:val="00D14180"/>
    <w:pPr>
      <w:keepNext/>
      <w:numPr>
        <w:ilvl w:val="3"/>
        <w:numId w:val="1"/>
      </w:numPr>
      <w:jc w:val="both"/>
      <w:outlineLvl w:val="3"/>
    </w:pPr>
    <w:rPr>
      <w:b/>
      <w:bCs/>
      <w:i/>
      <w:iCs/>
      <w:sz w:val="20"/>
    </w:rPr>
  </w:style>
  <w:style w:type="paragraph" w:styleId="Nadpis5">
    <w:name w:val="heading 5"/>
    <w:basedOn w:val="Normln"/>
    <w:next w:val="Normln"/>
    <w:qFormat/>
    <w:rsid w:val="00D14180"/>
    <w:pPr>
      <w:keepNext/>
      <w:numPr>
        <w:ilvl w:val="4"/>
        <w:numId w:val="1"/>
      </w:numPr>
      <w:spacing w:line="360" w:lineRule="auto"/>
      <w:jc w:val="both"/>
      <w:outlineLvl w:val="4"/>
    </w:pPr>
    <w:rPr>
      <w:b/>
      <w:bCs/>
    </w:rPr>
  </w:style>
  <w:style w:type="paragraph" w:styleId="Nadpis6">
    <w:name w:val="heading 6"/>
    <w:basedOn w:val="Normln"/>
    <w:next w:val="Normln"/>
    <w:qFormat/>
    <w:rsid w:val="00D14180"/>
    <w:pPr>
      <w:keepNext/>
      <w:numPr>
        <w:ilvl w:val="5"/>
        <w:numId w:val="1"/>
      </w:numPr>
      <w:spacing w:line="360" w:lineRule="auto"/>
      <w:jc w:val="both"/>
      <w:outlineLvl w:val="5"/>
    </w:pPr>
    <w:rPr>
      <w:rFonts w:cs="Arial"/>
      <w:b/>
      <w:bCs/>
      <w:sz w:val="36"/>
      <w:szCs w:val="24"/>
    </w:rPr>
  </w:style>
  <w:style w:type="paragraph" w:styleId="Nadpis7">
    <w:name w:val="heading 7"/>
    <w:basedOn w:val="Normln"/>
    <w:next w:val="Normln"/>
    <w:qFormat/>
    <w:rsid w:val="00D14180"/>
    <w:pPr>
      <w:keepNext/>
      <w:numPr>
        <w:ilvl w:val="6"/>
        <w:numId w:val="1"/>
      </w:numPr>
      <w:spacing w:line="360" w:lineRule="auto"/>
      <w:jc w:val="both"/>
      <w:outlineLvl w:val="6"/>
    </w:pPr>
    <w:rPr>
      <w:rFonts w:cs="Arial"/>
      <w:b/>
      <w:bCs/>
      <w:i/>
      <w:iCs/>
      <w:sz w:val="28"/>
      <w:szCs w:val="24"/>
    </w:rPr>
  </w:style>
  <w:style w:type="paragraph" w:styleId="Nadpis8">
    <w:name w:val="heading 8"/>
    <w:basedOn w:val="Normln"/>
    <w:next w:val="Normln"/>
    <w:qFormat/>
    <w:rsid w:val="00D14180"/>
    <w:pPr>
      <w:keepNext/>
      <w:numPr>
        <w:ilvl w:val="7"/>
        <w:numId w:val="1"/>
      </w:numPr>
      <w:spacing w:line="360" w:lineRule="auto"/>
      <w:jc w:val="both"/>
      <w:outlineLvl w:val="7"/>
    </w:pPr>
    <w:rPr>
      <w:rFonts w:cs="Arial"/>
      <w:b/>
      <w:bCs/>
      <w:sz w:val="36"/>
      <w:szCs w:val="24"/>
    </w:rPr>
  </w:style>
  <w:style w:type="paragraph" w:styleId="Nadpis9">
    <w:name w:val="heading 9"/>
    <w:basedOn w:val="Normln"/>
    <w:next w:val="Normln"/>
    <w:qFormat/>
    <w:rsid w:val="00D14180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14180"/>
    <w:pPr>
      <w:spacing w:line="360" w:lineRule="auto"/>
      <w:jc w:val="both"/>
    </w:pPr>
  </w:style>
  <w:style w:type="paragraph" w:styleId="Zpat">
    <w:name w:val="footer"/>
    <w:basedOn w:val="Normln"/>
    <w:link w:val="ZpatChar"/>
    <w:uiPriority w:val="99"/>
    <w:rsid w:val="00D1418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14180"/>
  </w:style>
  <w:style w:type="paragraph" w:styleId="Textpoznpodarou">
    <w:name w:val="footnote text"/>
    <w:basedOn w:val="Normln"/>
    <w:link w:val="TextpoznpodarouChar"/>
    <w:semiHidden/>
    <w:rsid w:val="00D14180"/>
    <w:rPr>
      <w:sz w:val="20"/>
    </w:rPr>
  </w:style>
  <w:style w:type="character" w:styleId="Znakapoznpodarou">
    <w:name w:val="footnote reference"/>
    <w:semiHidden/>
    <w:rsid w:val="00D14180"/>
    <w:rPr>
      <w:vertAlign w:val="superscript"/>
    </w:rPr>
  </w:style>
  <w:style w:type="paragraph" w:styleId="Zkladntextodsazen">
    <w:name w:val="Body Text Indent"/>
    <w:basedOn w:val="Normln"/>
    <w:rsid w:val="00D14180"/>
    <w:pPr>
      <w:spacing w:line="360" w:lineRule="auto"/>
      <w:ind w:firstLine="360"/>
      <w:jc w:val="both"/>
    </w:pPr>
  </w:style>
  <w:style w:type="paragraph" w:styleId="Zhlav">
    <w:name w:val="header"/>
    <w:basedOn w:val="Normln"/>
    <w:link w:val="ZhlavChar"/>
    <w:uiPriority w:val="99"/>
    <w:rsid w:val="00D14180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D14180"/>
    <w:pPr>
      <w:spacing w:line="360" w:lineRule="auto"/>
      <w:jc w:val="both"/>
    </w:pPr>
  </w:style>
  <w:style w:type="paragraph" w:styleId="Zkladntextodsazen2">
    <w:name w:val="Body Text Indent 2"/>
    <w:basedOn w:val="Normln"/>
    <w:rsid w:val="00D14180"/>
    <w:pPr>
      <w:spacing w:line="480" w:lineRule="auto"/>
      <w:ind w:firstLine="708"/>
      <w:jc w:val="both"/>
    </w:pPr>
    <w:rPr>
      <w:color w:val="FF0000"/>
    </w:rPr>
  </w:style>
  <w:style w:type="paragraph" w:styleId="Zkladntext3">
    <w:name w:val="Body Text 3"/>
    <w:basedOn w:val="Normln"/>
    <w:rsid w:val="00D14180"/>
    <w:pPr>
      <w:spacing w:line="360" w:lineRule="auto"/>
      <w:jc w:val="both"/>
    </w:pPr>
    <w:rPr>
      <w:rFonts w:cs="Arial"/>
      <w:color w:val="008000"/>
    </w:rPr>
  </w:style>
  <w:style w:type="paragraph" w:styleId="Zkladntextodsazen3">
    <w:name w:val="Body Text Indent 3"/>
    <w:basedOn w:val="Normln"/>
    <w:rsid w:val="00D14180"/>
    <w:pPr>
      <w:ind w:left="709"/>
      <w:jc w:val="both"/>
    </w:pPr>
  </w:style>
  <w:style w:type="character" w:styleId="Hypertextovodkaz">
    <w:name w:val="Hyperlink"/>
    <w:rsid w:val="00D14180"/>
    <w:rPr>
      <w:color w:val="0000FF"/>
      <w:u w:val="single"/>
    </w:rPr>
  </w:style>
  <w:style w:type="paragraph" w:styleId="Rozvrendokumentu">
    <w:name w:val="Document Map"/>
    <w:basedOn w:val="Normln"/>
    <w:semiHidden/>
    <w:rsid w:val="005E6641"/>
    <w:pPr>
      <w:shd w:val="clear" w:color="auto" w:fill="000080"/>
    </w:pPr>
    <w:rPr>
      <w:rFonts w:ascii="Tahoma" w:hAnsi="Tahoma" w:cs="Tahoma"/>
      <w:sz w:val="20"/>
    </w:rPr>
  </w:style>
  <w:style w:type="paragraph" w:styleId="Textbubliny">
    <w:name w:val="Balloon Text"/>
    <w:basedOn w:val="Normln"/>
    <w:semiHidden/>
    <w:rsid w:val="006558D9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8C453A"/>
    <w:rPr>
      <w:rFonts w:ascii="Arial" w:hAnsi="Arial"/>
      <w:sz w:val="24"/>
    </w:rPr>
  </w:style>
  <w:style w:type="character" w:customStyle="1" w:styleId="TextpoznpodarouChar">
    <w:name w:val="Text pozn. pod čarou Char"/>
    <w:link w:val="Textpoznpodarou"/>
    <w:semiHidden/>
    <w:locked/>
    <w:rsid w:val="00D06104"/>
    <w:rPr>
      <w:rFonts w:ascii="Arial" w:hAnsi="Arial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3765A0"/>
    <w:pPr>
      <w:ind w:left="708"/>
    </w:pPr>
  </w:style>
  <w:style w:type="character" w:customStyle="1" w:styleId="ZhlavChar">
    <w:name w:val="Záhlaví Char"/>
    <w:link w:val="Zhlav"/>
    <w:uiPriority w:val="99"/>
    <w:rsid w:val="00460545"/>
    <w:rPr>
      <w:rFonts w:ascii="Arial" w:hAnsi="Arial"/>
      <w:sz w:val="24"/>
    </w:rPr>
  </w:style>
  <w:style w:type="character" w:customStyle="1" w:styleId="ZkladntextChar">
    <w:name w:val="Základní text Char"/>
    <w:link w:val="Zkladntext"/>
    <w:rsid w:val="00026922"/>
    <w:rPr>
      <w:rFonts w:ascii="Arial" w:hAnsi="Arial"/>
      <w:sz w:val="24"/>
    </w:rPr>
  </w:style>
  <w:style w:type="paragraph" w:styleId="Nzev">
    <w:name w:val="Title"/>
    <w:basedOn w:val="Normln"/>
    <w:next w:val="Normln"/>
    <w:link w:val="NzevChar"/>
    <w:qFormat/>
    <w:rsid w:val="008C4B4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8C4B41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line="360" w:lineRule="auto"/>
      <w:jc w:val="both"/>
      <w:outlineLvl w:val="0"/>
    </w:pPr>
    <w:rPr>
      <w:b/>
      <w:bCs/>
      <w:sz w:val="36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line="360" w:lineRule="auto"/>
      <w:jc w:val="both"/>
      <w:outlineLvl w:val="1"/>
    </w:pPr>
    <w:rPr>
      <w:b/>
      <w:bCs/>
      <w:sz w:val="32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line="360" w:lineRule="auto"/>
      <w:jc w:val="both"/>
      <w:outlineLvl w:val="2"/>
    </w:pPr>
    <w:rPr>
      <w:b/>
      <w:bCs/>
      <w:i/>
      <w:iCs/>
      <w:sz w:val="32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jc w:val="both"/>
      <w:outlineLvl w:val="3"/>
    </w:pPr>
    <w:rPr>
      <w:b/>
      <w:bCs/>
      <w:i/>
      <w:iCs/>
      <w:sz w:val="20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spacing w:line="360" w:lineRule="auto"/>
      <w:jc w:val="both"/>
      <w:outlineLvl w:val="4"/>
    </w:pPr>
    <w:rPr>
      <w:b/>
      <w:bCs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spacing w:line="360" w:lineRule="auto"/>
      <w:jc w:val="both"/>
      <w:outlineLvl w:val="5"/>
    </w:pPr>
    <w:rPr>
      <w:rFonts w:cs="Arial"/>
      <w:b/>
      <w:bCs/>
      <w:sz w:val="36"/>
      <w:szCs w:val="24"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1"/>
      </w:numPr>
      <w:spacing w:line="360" w:lineRule="auto"/>
      <w:jc w:val="both"/>
      <w:outlineLvl w:val="6"/>
    </w:pPr>
    <w:rPr>
      <w:rFonts w:cs="Arial"/>
      <w:b/>
      <w:bCs/>
      <w:i/>
      <w:iCs/>
      <w:sz w:val="28"/>
      <w:szCs w:val="24"/>
    </w:rPr>
  </w:style>
  <w:style w:type="paragraph" w:styleId="Nadpis8">
    <w:name w:val="heading 8"/>
    <w:basedOn w:val="Normln"/>
    <w:next w:val="Normln"/>
    <w:qFormat/>
    <w:pPr>
      <w:keepNext/>
      <w:numPr>
        <w:ilvl w:val="7"/>
        <w:numId w:val="1"/>
      </w:numPr>
      <w:spacing w:line="360" w:lineRule="auto"/>
      <w:jc w:val="both"/>
      <w:outlineLvl w:val="7"/>
    </w:pPr>
    <w:rPr>
      <w:rFonts w:cs="Arial"/>
      <w:b/>
      <w:bCs/>
      <w:sz w:val="36"/>
      <w:szCs w:val="24"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spacing w:line="360" w:lineRule="auto"/>
      <w:jc w:val="both"/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poznpodarou">
    <w:name w:val="footnote text"/>
    <w:basedOn w:val="Normln"/>
    <w:link w:val="TextpoznpodarouChar"/>
    <w:semiHidden/>
    <w:rPr>
      <w:sz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kladntextodsazen">
    <w:name w:val="Body Text Indent"/>
    <w:basedOn w:val="Normln"/>
    <w:pPr>
      <w:spacing w:line="360" w:lineRule="auto"/>
      <w:ind w:firstLine="360"/>
      <w:jc w:val="both"/>
    </w:p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pPr>
      <w:spacing w:line="360" w:lineRule="auto"/>
      <w:jc w:val="both"/>
    </w:pPr>
  </w:style>
  <w:style w:type="paragraph" w:styleId="Zkladntextodsazen2">
    <w:name w:val="Body Text Indent 2"/>
    <w:basedOn w:val="Normln"/>
    <w:pPr>
      <w:spacing w:line="480" w:lineRule="auto"/>
      <w:ind w:firstLine="708"/>
      <w:jc w:val="both"/>
    </w:pPr>
    <w:rPr>
      <w:color w:val="FF0000"/>
    </w:rPr>
  </w:style>
  <w:style w:type="paragraph" w:styleId="Zkladntext3">
    <w:name w:val="Body Text 3"/>
    <w:basedOn w:val="Normln"/>
    <w:pPr>
      <w:spacing w:line="360" w:lineRule="auto"/>
      <w:jc w:val="both"/>
    </w:pPr>
    <w:rPr>
      <w:rFonts w:cs="Arial"/>
      <w:color w:val="008000"/>
    </w:rPr>
  </w:style>
  <w:style w:type="paragraph" w:styleId="Zkladntextodsazen3">
    <w:name w:val="Body Text Indent 3"/>
    <w:basedOn w:val="Normln"/>
    <w:pPr>
      <w:ind w:left="709"/>
      <w:jc w:val="both"/>
    </w:pPr>
  </w:style>
  <w:style w:type="character" w:styleId="Hypertextovodkaz">
    <w:name w:val="Hyperlink"/>
    <w:rPr>
      <w:color w:val="0000FF"/>
      <w:u w:val="single"/>
    </w:rPr>
  </w:style>
  <w:style w:type="paragraph" w:styleId="Rozloendokumentu">
    <w:name w:val="Document Map"/>
    <w:basedOn w:val="Normln"/>
    <w:semiHidden/>
    <w:rsid w:val="005E6641"/>
    <w:pPr>
      <w:shd w:val="clear" w:color="auto" w:fill="000080"/>
    </w:pPr>
    <w:rPr>
      <w:rFonts w:ascii="Tahoma" w:hAnsi="Tahoma" w:cs="Tahoma"/>
      <w:sz w:val="20"/>
    </w:rPr>
  </w:style>
  <w:style w:type="paragraph" w:styleId="Textbubliny">
    <w:name w:val="Balloon Text"/>
    <w:basedOn w:val="Normln"/>
    <w:semiHidden/>
    <w:rsid w:val="006558D9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8C453A"/>
    <w:rPr>
      <w:rFonts w:ascii="Arial" w:hAnsi="Arial"/>
      <w:sz w:val="24"/>
    </w:rPr>
  </w:style>
  <w:style w:type="character" w:customStyle="1" w:styleId="TextpoznpodarouChar">
    <w:name w:val="Text pozn. pod čarou Char"/>
    <w:link w:val="Textpoznpodarou"/>
    <w:semiHidden/>
    <w:locked/>
    <w:rsid w:val="00D06104"/>
    <w:rPr>
      <w:rFonts w:ascii="Arial" w:hAnsi="Arial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3765A0"/>
    <w:pPr>
      <w:ind w:left="708"/>
    </w:pPr>
  </w:style>
  <w:style w:type="character" w:customStyle="1" w:styleId="ZhlavChar">
    <w:name w:val="Záhlaví Char"/>
    <w:link w:val="Zhlav"/>
    <w:uiPriority w:val="99"/>
    <w:rsid w:val="00460545"/>
    <w:rPr>
      <w:rFonts w:ascii="Arial" w:hAnsi="Arial"/>
      <w:sz w:val="24"/>
    </w:rPr>
  </w:style>
  <w:style w:type="character" w:customStyle="1" w:styleId="ZkladntextChar">
    <w:name w:val="Základní text Char"/>
    <w:link w:val="Zkladntext"/>
    <w:rsid w:val="00026922"/>
    <w:rPr>
      <w:rFonts w:ascii="Arial" w:hAnsi="Arial"/>
      <w:sz w:val="24"/>
    </w:rPr>
  </w:style>
  <w:style w:type="paragraph" w:styleId="Nzev">
    <w:name w:val="Title"/>
    <w:basedOn w:val="Normln"/>
    <w:next w:val="Normln"/>
    <w:link w:val="NzevChar"/>
    <w:qFormat/>
    <w:rsid w:val="008C4B4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8C4B41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5D7AC-E536-43D2-B868-C209F04EE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4656</Words>
  <Characters>27473</Characters>
  <Application>Microsoft Office Word</Application>
  <DocSecurity>0</DocSecurity>
  <Lines>228</Lines>
  <Paragraphs>64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II</vt:lpstr>
    </vt:vector>
  </TitlesOfParts>
  <Company>MPSV CR</Company>
  <LinksUpToDate>false</LinksUpToDate>
  <CharactersWithSpaces>32065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</dc:title>
  <dc:creator>MPSV</dc:creator>
  <cp:lastModifiedBy>OSPZV3 ospzv3</cp:lastModifiedBy>
  <cp:revision>2</cp:revision>
  <cp:lastPrinted>2016-07-22T08:01:00Z</cp:lastPrinted>
  <dcterms:created xsi:type="dcterms:W3CDTF">2016-09-01T13:10:00Z</dcterms:created>
  <dcterms:modified xsi:type="dcterms:W3CDTF">2016-09-01T13:10:00Z</dcterms:modified>
</cp:coreProperties>
</file>